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both"/>
        <w:rPr/>
      </w:pPr>
      <w:r>
        <w:rPr/>
        <w:t xml:space="preserve">O Plano Municipal de Saneamento Básico - PMSN (2016), bem como as proposições da VI, VII e VIII Conferência Municipal (2013, 2015 e 2017), já relatavam as dificuldades enfrentadas pela ARSBAN para promover </w:t>
      </w:r>
      <w:r>
        <w:rPr>
          <w:i/>
        </w:rPr>
        <w:t>uma regulação eficiente nos moldes estabelecidos pela Política Nacional de Saneamento Básico (PNSB), destacando-se o corpo técnico reduzido e a forte ligação com o município</w:t>
      </w:r>
      <w:r>
        <w:rPr/>
        <w:t>.</w:t>
      </w:r>
    </w:p>
    <w:p>
      <w:pPr>
        <w:pStyle w:val="Normal"/>
        <w:ind w:firstLine="708"/>
        <w:jc w:val="both"/>
        <w:rPr/>
      </w:pPr>
      <w:r>
        <w:rPr/>
        <w:t>Dessa forma, o PMSB, em seu produto Prognósticos e Alternativas para a Universalização, apresentou como alternativa institucional para o fortalecimento da regulação e fiscalização por parte da ARSBAN, prioritariamente, a recomposição do quadro técnico da agência e a implantação de Plano de Cargos, Carreiras e Salários próprio.</w:t>
      </w:r>
    </w:p>
    <w:p>
      <w:pPr>
        <w:pStyle w:val="Normal"/>
        <w:ind w:firstLine="708"/>
        <w:jc w:val="both"/>
        <w:rPr/>
      </w:pPr>
      <w:r>
        <w:rPr/>
        <w:t>C</w:t>
      </w:r>
      <w:r>
        <w:rPr/>
        <w:t xml:space="preserve">onsiderando a complexidade e importância vital que a regulação econômica das entidades reguladas deve ocupar nas funções de uma agência reguladora, </w:t>
      </w:r>
      <w:r>
        <w:rPr/>
        <w:t>destaca-se a necessidade de</w:t>
      </w:r>
      <w:r>
        <w:rPr/>
        <w:t xml:space="preserve"> reestruturação organizacional da ARSBAN (setorização), a qual abrangeria, principalmente, a criação de unidade específica de contabilidade regulatória, também surge como prioridade a ser atendida para uma efetiva prestação do serviço.</w:t>
      </w:r>
    </w:p>
    <w:p>
      <w:pPr>
        <w:pStyle w:val="Normal"/>
        <w:ind w:firstLine="708"/>
        <w:jc w:val="both"/>
        <w:rPr/>
      </w:pPr>
      <w:r>
        <w:rPr/>
        <w:t xml:space="preserve">Tais prioridades convergem, não só para atender às necessidades dos atuais serviços regulados (SAA e SES), mas também permitem estruturar outras </w:t>
      </w:r>
      <w:r>
        <w:rPr/>
        <w:t xml:space="preserve">duas </w:t>
      </w:r>
      <w:r>
        <w:rPr/>
        <w:t xml:space="preserve">demandas oriundas da PNSB e que estão definidas no Plano Municipal: regulação dos serviços de limpeza urbana e manejo de resíduos sólidos </w:t>
      </w:r>
      <w:r>
        <w:rPr/>
        <w:t>e de</w:t>
      </w:r>
      <w:r>
        <w:rPr>
          <w:rFonts w:ascii="Calibri" w:hAnsi="Calibri"/>
          <w:sz w:val="22"/>
          <w:szCs w:val="22"/>
        </w:rPr>
        <w:t xml:space="preserve"> drenagem e manejo de águas pluviais urbanas.</w:t>
      </w:r>
    </w:p>
    <w:tbl>
      <w:tblPr>
        <w:tblW w:w="851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1586"/>
        <w:gridCol w:w="1586"/>
        <w:gridCol w:w="2218"/>
        <w:gridCol w:w="1587"/>
        <w:gridCol w:w="1533"/>
      </w:tblGrid>
      <w:tr>
        <w:trPr>
          <w:trHeight w:val="396" w:hRule="atLeast"/>
        </w:trPr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PROGRAMA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PROJETOS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AÇÕES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PRAZO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RESPONSÁVEL </w:t>
            </w:r>
          </w:p>
        </w:tc>
      </w:tr>
      <w:tr>
        <w:trPr/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ascii="Calibri" w:hAnsi="Calibri"/>
                <w:b w:val="false"/>
                <w:bCs w:val="false"/>
                <w:sz w:val="16"/>
                <w:szCs w:val="16"/>
              </w:rPr>
              <w:t>PROGRAMA PRÓ-RESÍDUOS</w:t>
            </w: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ascii="Calibri" w:hAnsi="Calibri"/>
                <w:b w:val="false"/>
                <w:bCs w:val="false"/>
                <w:sz w:val="16"/>
                <w:szCs w:val="16"/>
              </w:rPr>
              <w:t>PROJETO DE GESTÃO INTEGRADA DOS RESÍDUOS SÓLIDOS</w:t>
            </w:r>
          </w:p>
        </w:tc>
        <w:tc>
          <w:tcPr>
            <w:tcW w:w="22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AR12 - Definir mecanismos para a implementação da regulação dos serviços de limpeza urbana e manejo de resíduos sólidos.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CURTO E MÉDIO </w:t>
            </w:r>
          </w:p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(ANO 1 a ANO 8) </w:t>
            </w: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URBANA / ARSBAN </w:t>
            </w:r>
          </w:p>
        </w:tc>
      </w:tr>
      <w:tr>
        <w:trPr/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jc w:val="center"/>
              <w:rPr>
                <w:rFonts w:ascii="Calibri" w:hAnsi="Calibri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ascii="Calibri" w:hAnsi="Calibri"/>
                <w:b w:val="false"/>
                <w:bCs w:val="false"/>
                <w:sz w:val="16"/>
                <w:szCs w:val="16"/>
              </w:rPr>
              <w:t xml:space="preserve">PROGRAMA </w:t>
            </w:r>
            <w:r>
              <w:rPr>
                <w:rFonts w:ascii="Calibri" w:hAnsi="Calibri"/>
                <w:b w:val="false"/>
                <w:bCs w:val="false"/>
                <w:sz w:val="16"/>
                <w:szCs w:val="16"/>
              </w:rPr>
              <w:t>DE AÇÕES PRIORITÁRIAS</w:t>
            </w: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2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APD03 - Definir mecanismos para implementação da regulação dos serviços de drenagem e manejo de águas pluviais urbanas, incluindo a cobrança de taxa específica para garantir a sustentabilidade econômica desses serviços quanto a manutenção e fiscalização.</w:t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Default"/>
              <w:tabs>
                <w:tab w:val="clear" w:pos="72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CURTO </w:t>
            </w:r>
          </w:p>
          <w:p>
            <w:pPr>
              <w:pStyle w:val="Default"/>
              <w:tabs>
                <w:tab w:val="clear" w:pos="72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trike w:val="false"/>
                <w:dstrike w:val="false"/>
                <w:sz w:val="16"/>
                <w:szCs w:val="16"/>
                <w:u w:val="none"/>
              </w:rPr>
              <w:t>(ANO 1 a ANO 4)</w:t>
            </w: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Default"/>
              <w:tabs>
                <w:tab w:val="clear" w:pos="72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SEMOV / ARSBAN </w:t>
            </w:r>
          </w:p>
        </w:tc>
      </w:tr>
    </w:tbl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701" w:right="1701" w:header="0" w:top="142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Default" w:customStyle="1">
    <w:name w:val="Default"/>
    <w:qFormat/>
    <w:rsid w:val="00ed1f00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t-BR" w:eastAsia="en-US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Application>LibreOffice/6.0.3.2$Windows_X86_64 LibreOffice_project/8f48d515416608e3a835360314dac7e47fd0b821</Application>
  <Pages>1</Pages>
  <Words>307</Words>
  <Characters>1758</Characters>
  <CharactersWithSpaces>2050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2016-06-02T08:13:00Z</dcterms:created>
  <dc:creator>Karina Cavalcanti</dc:creator>
  <dc:description/>
  <dc:language>pt-BR</dc:language>
  <cp:lastModifiedBy/>
  <dcterms:modified xsi:type="dcterms:W3CDTF">2021-07-16T06:52:42Z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