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highlight w:val="white"/>
        </w:rPr>
      </w:pPr>
      <w:r>
        <w:rPr>
          <w:rFonts w:cs="Times New Roman" w:ascii="Times New Roman" w:hAnsi="Times New Roman"/>
          <w:b/>
          <w:sz w:val="24"/>
          <w:szCs w:val="24"/>
          <w:highlight w:val="white"/>
        </w:rPr>
        <w:drawing>
          <wp:anchor behindDoc="0" distT="0" distB="0" distL="114300" distR="114300" simplePos="0" locked="0" layoutInCell="1" allowOverlap="1" relativeHeight="3">
            <wp:simplePos x="0" y="0"/>
            <wp:positionH relativeFrom="margin">
              <wp:posOffset>3827145</wp:posOffset>
            </wp:positionH>
            <wp:positionV relativeFrom="margin">
              <wp:posOffset>-635</wp:posOffset>
            </wp:positionV>
            <wp:extent cx="1569720" cy="725805"/>
            <wp:effectExtent l="0" t="0" r="0" b="0"/>
            <wp:wrapSquare wrapText="bothSides"/>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2"/>
                    <a:stretch>
                      <a:fillRect/>
                    </a:stretch>
                  </pic:blipFill>
                  <pic:spPr bwMode="auto">
                    <a:xfrm>
                      <a:off x="0" y="0"/>
                      <a:ext cx="1569720" cy="725805"/>
                    </a:xfrm>
                    <a:prstGeom prst="rect">
                      <a:avLst/>
                    </a:prstGeom>
                  </pic:spPr>
                </pic:pic>
              </a:graphicData>
            </a:graphic>
          </wp:anchor>
        </w:drawing>
        <w:drawing>
          <wp:anchor behindDoc="0" distT="0" distB="0" distL="0" distR="114300" simplePos="0" locked="0" layoutInCell="1" allowOverlap="1" relativeHeight="4">
            <wp:simplePos x="0" y="0"/>
            <wp:positionH relativeFrom="margin">
              <wp:align>left</wp:align>
            </wp:positionH>
            <wp:positionV relativeFrom="margin">
              <wp:align>top</wp:align>
            </wp:positionV>
            <wp:extent cx="1607820" cy="614045"/>
            <wp:effectExtent l="0" t="0" r="0" b="0"/>
            <wp:wrapSquare wrapText="bothSides"/>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3"/>
                    <a:stretch>
                      <a:fillRect/>
                    </a:stretch>
                  </pic:blipFill>
                  <pic:spPr bwMode="auto">
                    <a:xfrm>
                      <a:off x="0" y="0"/>
                      <a:ext cx="1607820" cy="614045"/>
                    </a:xfrm>
                    <a:prstGeom prst="rect">
                      <a:avLst/>
                    </a:prstGeom>
                  </pic:spPr>
                </pic:pic>
              </a:graphicData>
            </a:graphic>
          </wp:anchor>
        </w:drawing>
      </w:r>
      <w:bookmarkStart w:id="0" w:name="_Hlk506629561"/>
      <w:bookmarkStart w:id="1" w:name="_Hlk506629561"/>
      <w:bookmarkEnd w:id="1"/>
    </w:p>
    <w:p>
      <w:pPr>
        <w:pStyle w:val="Normal"/>
        <w:jc w:val="right"/>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50"/>
          <w:szCs w:val="50"/>
          <w:highlight w:val="white"/>
        </w:rPr>
      </w:pPr>
      <w:r>
        <w:rPr>
          <w:rFonts w:cs="Times New Roman" w:ascii="Times New Roman" w:hAnsi="Times New Roman"/>
          <w:b/>
          <w:sz w:val="50"/>
          <w:szCs w:val="50"/>
          <w:highlight w:val="white"/>
        </w:rPr>
      </w:r>
    </w:p>
    <w:p>
      <w:pPr>
        <w:pStyle w:val="Normal"/>
        <w:jc w:val="center"/>
        <w:rPr>
          <w:rFonts w:ascii="Times New Roman" w:hAnsi="Times New Roman" w:cs="Times New Roman"/>
          <w:b/>
          <w:b/>
          <w:sz w:val="44"/>
          <w:szCs w:val="44"/>
        </w:rPr>
      </w:pPr>
      <w:r>
        <w:rPr>
          <w:rFonts w:cs="Times New Roman" w:ascii="Times New Roman" w:hAnsi="Times New Roman"/>
          <w:b/>
          <w:sz w:val="44"/>
          <w:szCs w:val="44"/>
          <w:shd w:fill="F9FBFD" w:val="clear"/>
        </w:rPr>
        <w:t>NOTA TÉCNICA Nº 003/2022-ARSBAN</w:t>
      </w:r>
    </w:p>
    <w:p>
      <w:pPr>
        <w:pStyle w:val="Normal"/>
        <w:jc w:val="center"/>
        <w:rPr>
          <w:rFonts w:ascii="Times New Roman" w:hAnsi="Times New Roman" w:cs="Times New Roman"/>
          <w:b/>
          <w:b/>
          <w:sz w:val="24"/>
          <w:szCs w:val="24"/>
          <w:highlight w:val="white"/>
        </w:rPr>
      </w:pPr>
      <w:r>
        <w:rPr>
          <w:rFonts w:cs="Times New Roman" w:ascii="Times New Roman" w:hAnsi="Times New Roman"/>
          <w:sz w:val="24"/>
          <w:szCs w:val="24"/>
          <w:shd w:fill="F9FBFD" w:val="clear"/>
        </w:rPr>
        <w:t>DEFINIÇÃO DAS DIRETRIZES E METODOLOGIA DE REAJUSTE TARIFÁRIO PARA OS SERVIÇOS DE ABASTECIMENTO DE ÁGUA E ESGOTAMENTO SANITÁRIO PRESTADOS NO MUNICÍPIO DO NATAL</w:t>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jc w:val="center"/>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Spacing"/>
        <w:jc w:val="center"/>
        <w:rPr>
          <w:rFonts w:ascii="Times New Roman" w:hAnsi="Times New Roman" w:cs="Times New Roman"/>
          <w:b/>
          <w:b/>
          <w:color w:val="auto"/>
          <w:sz w:val="24"/>
          <w:szCs w:val="24"/>
        </w:rPr>
      </w:pPr>
      <w:r>
        <w:rPr>
          <w:rFonts w:cs="Times New Roman" w:ascii="Times New Roman" w:hAnsi="Times New Roman"/>
          <w:b/>
          <w:color w:val="000000"/>
          <w:sz w:val="24"/>
          <w:szCs w:val="24"/>
          <w:shd w:fill="F9FBFD" w:val="clear"/>
        </w:rPr>
        <w:t>Natal</w:t>
      </w:r>
    </w:p>
    <w:p>
      <w:pPr>
        <w:pStyle w:val="NoSpacing"/>
        <w:jc w:val="center"/>
        <w:rPr>
          <w:rFonts w:ascii="Times New Roman" w:hAnsi="Times New Roman" w:cs="Times New Roman"/>
          <w:b/>
          <w:b/>
          <w:color w:val="auto"/>
          <w:sz w:val="24"/>
          <w:szCs w:val="24"/>
        </w:rPr>
      </w:pPr>
      <w:r>
        <w:rPr>
          <w:rFonts w:cs="Times New Roman" w:ascii="Times New Roman" w:hAnsi="Times New Roman"/>
          <w:b/>
          <w:color w:val="000000"/>
          <w:sz w:val="24"/>
          <w:szCs w:val="24"/>
          <w:shd w:fill="F9FBFD" w:val="clear"/>
          <w:lang w:eastAsia="en-US"/>
        </w:rPr>
        <w:t>Dezembro</w:t>
      </w:r>
      <w:r>
        <w:rPr>
          <w:rFonts w:cs="Times New Roman" w:ascii="Times New Roman" w:hAnsi="Times New Roman"/>
          <w:b/>
          <w:color w:val="000000"/>
          <w:sz w:val="24"/>
          <w:szCs w:val="24"/>
          <w:shd w:fill="F9FBFD" w:val="clear"/>
        </w:rPr>
        <w:t>/2022</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mc:AlternateContent>
          <mc:Choice Requires="wps">
            <w:drawing>
              <wp:anchor behindDoc="0" distT="0" distB="0" distL="0" distR="0" simplePos="0" locked="0" layoutInCell="1" allowOverlap="1" relativeHeight="2" wp14:anchorId="5FB9BAD6">
                <wp:simplePos x="0" y="0"/>
                <wp:positionH relativeFrom="column">
                  <wp:posOffset>4877435</wp:posOffset>
                </wp:positionH>
                <wp:positionV relativeFrom="paragraph">
                  <wp:posOffset>172085</wp:posOffset>
                </wp:positionV>
                <wp:extent cx="525780" cy="382905"/>
                <wp:effectExtent l="0" t="0" r="9525" b="0"/>
                <wp:wrapNone/>
                <wp:docPr id="3" name="Retângulo 4"/>
                <a:graphic xmlns:a="http://schemas.openxmlformats.org/drawingml/2006/main">
                  <a:graphicData uri="http://schemas.microsoft.com/office/word/2010/wordprocessingShape">
                    <wps:wsp>
                      <wps:cNvSpPr/>
                      <wps:spPr>
                        <a:xfrm>
                          <a:off x="0" y="0"/>
                          <a:ext cx="525240" cy="382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4" fillcolor="white" stroked="f" style="position:absolute;margin-left:384.05pt;margin-top:13.55pt;width:41.3pt;height:30.05pt" wp14:anchorId="5FB9BAD6">
                <w10:wrap type="none"/>
                <v:fill o:detectmouseclick="t" type="solid" color2="black"/>
                <v:stroke color="#3465a4" weight="25560" joinstyle="round" endcap="flat"/>
              </v:rect>
            </w:pict>
          </mc:Fallback>
        </mc:AlternateContent>
      </w:r>
    </w:p>
    <w:sdt>
      <w:sdtPr>
        <w:docPartObj>
          <w:docPartGallery w:val="Table of Contents"/>
          <w:docPartUnique w:val="true"/>
        </w:docPartObj>
      </w:sdtPr>
      <w:sdtContent>
        <w:p>
          <w:pPr>
            <w:pStyle w:val="CabealhodoSumrio1"/>
            <w:jc w:val="center"/>
            <w:rPr>
              <w:color w:val="auto"/>
            </w:rPr>
          </w:pPr>
          <w:bookmarkStart w:id="2" w:name="_Toc118711704"/>
          <w:r>
            <w:rPr>
              <w:rFonts w:cs="Times New Roman" w:ascii="Times New Roman" w:hAnsi="Times New Roman"/>
              <w:color w:val="auto"/>
            </w:rPr>
            <w:t>Sumário</w:t>
          </w:r>
          <w:bookmarkEnd w:id="2"/>
        </w:p>
        <w:p>
          <w:pPr>
            <w:pStyle w:val="Sumrio1"/>
            <w:tabs>
              <w:tab w:val="clear" w:pos="720"/>
              <w:tab w:val="right" w:pos="8494" w:leader="dot"/>
            </w:tabs>
            <w:rPr>
              <w:rFonts w:ascii="Calibri" w:hAnsi="Calibri" w:eastAsia="" w:cs="" w:asciiTheme="minorHAnsi" w:cstheme="minorBidi" w:eastAsiaTheme="minorEastAsia" w:hAnsiTheme="minorHAnsi"/>
              <w:lang w:eastAsia="pt-BR"/>
            </w:rPr>
          </w:pPr>
          <w:r>
            <w:fldChar w:fldCharType="begin"/>
          </w:r>
          <w:r>
            <w:rPr>
              <w:rFonts w:eastAsia="" w:cs=""/>
              <w:lang w:eastAsia="pt-BR"/>
            </w:rPr>
            <w:instrText> TOC \o "1-3" \h</w:instrText>
          </w:r>
          <w:r>
            <w:rPr>
              <w:rFonts w:eastAsia="" w:cs=""/>
              <w:lang w:eastAsia="pt-BR"/>
            </w:rPr>
            <w:fldChar w:fldCharType="separate"/>
          </w:r>
          <w:r>
            <w:rPr>
              <w:rFonts w:eastAsia="" w:cs="" w:cstheme="minorBidi" w:eastAsiaTheme="minorEastAsia"/>
              <w:lang w:eastAsia="pt-BR"/>
            </w:rPr>
          </w:r>
          <w:r>
            <w:rPr>
              <w:rFonts w:eastAsia="" w:cs=""/>
              <w:lang w:eastAsia="pt-BR"/>
            </w:rPr>
            <w:fldChar w:fldCharType="end"/>
          </w:r>
        </w:p>
      </w:sdtContent>
    </w:sdt>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05">
        <w:r>
          <w:rPr>
            <w:rStyle w:val="LinkdaInternet"/>
            <w:rFonts w:cs="Times New Roman" w:ascii="Times New Roman" w:hAnsi="Times New Roman"/>
            <w:color w:val="auto"/>
            <w:sz w:val="24"/>
            <w:szCs w:val="24"/>
          </w:rPr>
          <w:t>1 CONSIDERAÇÕES INICIAIS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_Toc118711705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_Toc118711705 \h </w:instrText>
        </w:r>
        <w:r>
          <w:rPr>
            <w:rStyle w:val="LinkdaInternet"/>
            <w:vanish/>
          </w:rPr>
          <w:fldChar w:fldCharType="separate"/>
        </w:r>
        <w:r>
          <w:rPr>
            <w:rStyle w:val="LinkdaInternet"/>
            <w:vanish/>
          </w:rPr>
          <w:t>3</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06">
        <w:r>
          <w:rPr>
            <w:rStyle w:val="LinkdaInternet"/>
            <w:rFonts w:cs="Times New Roman" w:ascii="Times New Roman" w:hAnsi="Times New Roman"/>
            <w:color w:val="auto"/>
            <w:sz w:val="24"/>
            <w:szCs w:val="24"/>
          </w:rPr>
          <w:t>2 DAS CONDIÇÕES DE REJUSTE DAS TARIFAS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_Toc118711706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_Toc118711706 \h </w:instrText>
        </w:r>
        <w:r>
          <w:rPr>
            <w:rStyle w:val="LinkdaInternet"/>
            <w:vanish/>
          </w:rPr>
          <w:fldChar w:fldCharType="separate"/>
        </w:r>
        <w:r>
          <w:rPr>
            <w:rStyle w:val="LinkdaInternet"/>
            <w:vanish/>
          </w:rPr>
          <w:t>4</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07">
        <w:r>
          <w:rPr>
            <w:rStyle w:val="LinkdaInternet"/>
            <w:rFonts w:cs="Times New Roman" w:ascii="Times New Roman" w:hAnsi="Times New Roman"/>
            <w:color w:val="auto"/>
            <w:sz w:val="24"/>
            <w:szCs w:val="24"/>
          </w:rPr>
          <w:t>3 DA METODOLOGIA PARA CÁLCULO DO PERCENTUAL DE REAJUSTE</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_Toc118711707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_Toc118711707 \h </w:instrText>
        </w:r>
        <w:r>
          <w:rPr>
            <w:rStyle w:val="LinkdaInternet"/>
            <w:vanish/>
          </w:rPr>
          <w:fldChar w:fldCharType="separate"/>
        </w:r>
        <w:r>
          <w:rPr>
            <w:rStyle w:val="LinkdaInternet"/>
            <w:vanish/>
          </w:rPr>
          <w:t>5</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08">
        <w:r>
          <w:rPr>
            <w:rStyle w:val="LinkdaInternet"/>
            <w:rFonts w:cs="Times New Roman" w:ascii="Times New Roman" w:hAnsi="Times New Roman"/>
            <w:color w:val="auto"/>
            <w:sz w:val="24"/>
            <w:szCs w:val="24"/>
          </w:rPr>
          <w:t>3.1 Despesas e custos operacionais (OPEX)</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_Toc118711708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_Toc118711708 \h </w:instrText>
        </w:r>
        <w:r>
          <w:rPr>
            <w:rStyle w:val="LinkdaInternet"/>
            <w:vanish/>
          </w:rPr>
          <w:fldChar w:fldCharType="separate"/>
        </w:r>
        <w:r>
          <w:rPr>
            <w:rStyle w:val="LinkdaInternet"/>
            <w:vanish/>
          </w:rPr>
          <w:t>8</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09">
        <w:r>
          <w:rPr>
            <w:rStyle w:val="LinkdaInternet"/>
            <w:rFonts w:cs="Times New Roman" w:ascii="Times New Roman" w:hAnsi="Times New Roman"/>
            <w:color w:val="auto"/>
            <w:sz w:val="24"/>
            <w:szCs w:val="24"/>
          </w:rPr>
          <w:t>3.1.1 Despesas e custos com Pessoal</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_Toc118711709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_Toc118711709 \h </w:instrText>
        </w:r>
        <w:r>
          <w:rPr>
            <w:rStyle w:val="LinkdaInternet"/>
            <w:vanish/>
          </w:rPr>
          <w:fldChar w:fldCharType="separate"/>
        </w:r>
        <w:r>
          <w:rPr>
            <w:rStyle w:val="LinkdaInternet"/>
            <w:vanish/>
          </w:rPr>
          <w:t>9</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0">
        <w:r>
          <w:rPr>
            <w:rStyle w:val="LinkdaInternet"/>
            <w:rFonts w:cs="Times New Roman" w:ascii="Times New Roman" w:hAnsi="Times New Roman"/>
            <w:color w:val="auto"/>
            <w:sz w:val="24"/>
            <w:szCs w:val="24"/>
          </w:rPr>
          <w:t>3.1.2 Despesas e custos com materiais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_Toc118711710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_Toc118711710 \h </w:instrText>
        </w:r>
        <w:r>
          <w:rPr>
            <w:rStyle w:val="LinkdaInternet"/>
            <w:vanish/>
          </w:rPr>
          <w:fldChar w:fldCharType="separate"/>
        </w:r>
        <w:r>
          <w:rPr>
            <w:rStyle w:val="LinkdaInternet"/>
            <w:vanish/>
          </w:rPr>
          <w:t>11</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1">
        <w:r>
          <w:rPr>
            <w:rStyle w:val="LinkdaInternet"/>
            <w:rFonts w:cs="Times New Roman" w:ascii="Times New Roman" w:hAnsi="Times New Roman"/>
            <w:color w:val="auto"/>
            <w:sz w:val="24"/>
            <w:szCs w:val="24"/>
          </w:rPr>
          <w:t>3.1.3 Despesas e custos com energia elétrica</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_Toc118711711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_Toc118711711 \h </w:instrText>
        </w:r>
        <w:r>
          <w:rPr>
            <w:rStyle w:val="LinkdaInternet"/>
            <w:vanish/>
          </w:rPr>
          <w:fldChar w:fldCharType="separate"/>
        </w:r>
        <w:r>
          <w:rPr>
            <w:rStyle w:val="LinkdaInternet"/>
            <w:vanish/>
          </w:rPr>
          <w:t>15</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2">
        <w:r>
          <w:rPr>
            <w:rStyle w:val="LinkdaInternet"/>
            <w:rFonts w:cs="Times New Roman" w:ascii="Times New Roman" w:hAnsi="Times New Roman"/>
            <w:color w:val="auto"/>
            <w:sz w:val="24"/>
            <w:szCs w:val="24"/>
          </w:rPr>
          <w:t>3.1.4 Despesas e custos com outros serviços de terceiros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_Toc118711712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_Toc118711712 \h </w:instrText>
        </w:r>
        <w:r>
          <w:rPr>
            <w:rStyle w:val="LinkdaInternet"/>
            <w:vanish/>
          </w:rPr>
          <w:fldChar w:fldCharType="separate"/>
        </w:r>
        <w:r>
          <w:rPr>
            <w:rStyle w:val="LinkdaInternet"/>
            <w:vanish/>
          </w:rPr>
          <w:t>24</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3">
        <w:r>
          <w:rPr>
            <w:rStyle w:val="LinkdaInternet"/>
            <w:rFonts w:cs="Times New Roman" w:ascii="Times New Roman" w:hAnsi="Times New Roman"/>
            <w:color w:val="auto"/>
            <w:sz w:val="24"/>
            <w:szCs w:val="24"/>
          </w:rPr>
          <w:t>3.1.5 Despesas e custos gerais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_Toc118711713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_Toc118711713 \h </w:instrText>
        </w:r>
        <w:r>
          <w:rPr>
            <w:rStyle w:val="LinkdaInternet"/>
            <w:vanish/>
          </w:rPr>
          <w:fldChar w:fldCharType="separate"/>
        </w:r>
        <w:r>
          <w:rPr>
            <w:rStyle w:val="LinkdaInternet"/>
            <w:vanish/>
          </w:rPr>
          <w:t>27</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4">
        <w:r>
          <w:rPr>
            <w:rStyle w:val="LinkdaInternet"/>
            <w:rFonts w:cs="Times New Roman" w:ascii="Times New Roman" w:hAnsi="Times New Roman"/>
            <w:color w:val="auto"/>
            <w:sz w:val="24"/>
            <w:szCs w:val="24"/>
          </w:rPr>
          <w:t>3.1.6 Despesas com tributos (impostos, taxas e contribuições)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_Toc118711714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_Toc118711714 \h </w:instrText>
        </w:r>
        <w:r>
          <w:rPr>
            <w:rStyle w:val="LinkdaInternet"/>
            <w:vanish/>
          </w:rPr>
          <w:fldChar w:fldCharType="separate"/>
        </w:r>
        <w:r>
          <w:rPr>
            <w:rStyle w:val="LinkdaInternet"/>
            <w:vanish/>
          </w:rPr>
          <w:t>27</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5">
        <w:r>
          <w:rPr>
            <w:rStyle w:val="LinkdaInternet"/>
            <w:rFonts w:cs="Times New Roman" w:ascii="Times New Roman" w:hAnsi="Times New Roman"/>
            <w:color w:val="auto"/>
            <w:sz w:val="24"/>
            <w:szCs w:val="24"/>
          </w:rPr>
          <w:t>3.2 Perdas com Receitas Irrecuperáveis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_Toc118711715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_Toc118711715 \h </w:instrText>
        </w:r>
        <w:r>
          <w:rPr>
            <w:rStyle w:val="LinkdaInternet"/>
            <w:vanish/>
          </w:rPr>
          <w:fldChar w:fldCharType="separate"/>
        </w:r>
        <w:r>
          <w:rPr>
            <w:rStyle w:val="LinkdaInternet"/>
            <w:vanish/>
          </w:rPr>
          <w:t>30</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6">
        <w:r>
          <w:rPr>
            <w:rStyle w:val="LinkdaInternet"/>
            <w:rFonts w:cs="Times New Roman" w:ascii="Times New Roman" w:hAnsi="Times New Roman"/>
            <w:color w:val="auto"/>
            <w:sz w:val="24"/>
            <w:szCs w:val="24"/>
          </w:rPr>
          <w:t>3.3 Despesas e custos de capital (CAPEX)</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_Toc118711716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_Toc118711716 \h </w:instrText>
        </w:r>
        <w:r>
          <w:rPr>
            <w:rStyle w:val="LinkdaInternet"/>
            <w:vanish/>
          </w:rPr>
          <w:fldChar w:fldCharType="separate"/>
        </w:r>
        <w:r>
          <w:rPr>
            <w:rStyle w:val="LinkdaInternet"/>
            <w:vanish/>
          </w:rPr>
          <w:t>31</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7">
        <w:r>
          <w:rPr>
            <w:rStyle w:val="LinkdaInternet"/>
            <w:rFonts w:cs="Times New Roman" w:ascii="Times New Roman" w:hAnsi="Times New Roman"/>
            <w:color w:val="auto"/>
            <w:sz w:val="24"/>
            <w:szCs w:val="24"/>
          </w:rPr>
          <w:t>3.3.1 Despesas e custos com depreciação e amortização</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_Toc118711717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_Toc118711717 \h </w:instrText>
        </w:r>
        <w:r>
          <w:rPr>
            <w:rStyle w:val="LinkdaInternet"/>
            <w:vanish/>
          </w:rPr>
          <w:fldChar w:fldCharType="separate"/>
        </w:r>
        <w:r>
          <w:rPr>
            <w:rStyle w:val="LinkdaInternet"/>
            <w:vanish/>
          </w:rPr>
          <w:t>32</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8">
        <w:r>
          <w:rPr>
            <w:rStyle w:val="LinkdaInternet"/>
            <w:rFonts w:cs="Times New Roman" w:ascii="Times New Roman" w:hAnsi="Times New Roman"/>
            <w:color w:val="auto"/>
            <w:sz w:val="24"/>
            <w:szCs w:val="24"/>
          </w:rPr>
          <w:t>3.3.2 Remuneração do investimento reconhecido</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_Toc118711718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_Toc118711718 \h </w:instrText>
        </w:r>
        <w:r>
          <w:rPr>
            <w:rStyle w:val="LinkdaInternet"/>
            <w:vanish/>
          </w:rPr>
          <w:fldChar w:fldCharType="separate"/>
        </w:r>
        <w:r>
          <w:rPr>
            <w:rStyle w:val="LinkdaInternet"/>
            <w:vanish/>
          </w:rPr>
          <w:t>33</w:t>
        </w:r>
        <w:r>
          <w:rPr>
            <w:rStyle w:val="LinkdaInternet"/>
            <w:vanish/>
          </w:rPr>
          <w:fldChar w:fldCharType="end"/>
        </w:r>
      </w:hyperlink>
    </w:p>
    <w:p>
      <w:pPr>
        <w:pStyle w:val="Sumrio1"/>
        <w:tabs>
          <w:tab w:val="clear" w:pos="720"/>
          <w:tab w:val="right" w:pos="8494" w:leader="dot"/>
        </w:tabs>
        <w:rPr>
          <w:rFonts w:ascii="Times New Roman" w:hAnsi="Times New Roman" w:eastAsia="" w:cs="Times New Roman" w:eastAsiaTheme="minorEastAsia"/>
          <w:sz w:val="24"/>
          <w:szCs w:val="24"/>
          <w:lang w:eastAsia="pt-BR"/>
        </w:rPr>
      </w:pPr>
      <w:hyperlink w:anchor="_Toc118711719">
        <w:r>
          <w:rPr>
            <w:rStyle w:val="LinkdaInternet"/>
            <w:rFonts w:cs="Times New Roman" w:ascii="Times New Roman" w:hAnsi="Times New Roman"/>
            <w:color w:val="auto"/>
            <w:sz w:val="24"/>
            <w:szCs w:val="24"/>
          </w:rPr>
          <w:t>4 DISPOSIÇÕES FINAIS</w:t>
        </w:r>
        <w:r>
          <w:fldChar w:fldCharType="begin"/>
        </w:r>
        <w:r>
          <w:rPr>
            <w:rStyle w:val="LinkdaInternet"/>
            <w:sz w:val="24"/>
            <w:szCs w:val="24"/>
            <w:rFonts w:cs="Times New Roman" w:ascii="Times New Roman" w:hAnsi="Times New Roman"/>
            <w:color w:val="auto"/>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separate"/>
        </w:r>
        <w:r>
          <w:rPr>
            <w:rStyle w:val="LinkdaInternet"/>
            <w:rFonts w:cs="Times New Roman" w:ascii="Times New Roman" w:hAnsi="Times New Roman"/>
            <w:color w:val="auto"/>
            <w:sz w:val="24"/>
            <w:szCs w:val="24"/>
          </w:rPr>
        </w:r>
        <w:r>
          <w:rPr>
            <w:rStyle w:val="LinkdaInternet"/>
            <w:rFonts w:cs="Times New Roman" w:ascii="Times New Roman" w:hAnsi="Times New Roman"/>
            <w:color w:val="auto"/>
            <w:sz w:val="24"/>
            <w:szCs w:val="24"/>
          </w:rPr>
        </w:r>
        <w:r>
          <w:rPr>
            <w:rStyle w:val="LinkdaInternet"/>
            <w:sz w:val="24"/>
            <w:szCs w:val="24"/>
            <w:rFonts w:cs="Times New Roman" w:ascii="Times New Roman" w:hAnsi="Times New Roman"/>
            <w:color w:val="auto"/>
          </w:rPr>
          <w:fldChar w:fldCharType="end"/>
        </w:r>
        <w:r>
          <w:rPr>
            <w:webHidden/>
          </w:rPr>
          <w:fldChar w:fldCharType="begin"/>
        </w:r>
        <w:r>
          <w:rPr>
            <w:webHidden/>
          </w:rPr>
          <w:instrText>PAGEREF _Toc118711719 \h</w:instrText>
        </w:r>
        <w:r>
          <w:rPr>
            <w:webHidden/>
          </w:rPr>
          <w:fldChar w:fldCharType="separate"/>
        </w:r>
        <w:r>
          <w:rPr>
            <w:rStyle w:val="LinkdaInternet"/>
            <w:vanish/>
          </w:rPr>
          <w:fldChar w:fldCharType="begin"/>
        </w:r>
        <w:r>
          <w:rPr>
            <w:webHidden/>
          </w:rPr>
          <w:fldChar w:fldCharType="end"/>
        </w:r>
        <w:r>
          <w:rPr>
            <w:rStyle w:val="LinkdaInternet"/>
            <w:vanish/>
          </w:rPr>
          <w:instrText> PAGEREF _Toc118711719 \h </w:instrText>
        </w:r>
        <w:r>
          <w:rPr>
            <w:rStyle w:val="LinkdaInternet"/>
            <w:vanish/>
          </w:rPr>
          <w:fldChar w:fldCharType="separate"/>
        </w:r>
        <w:r>
          <w:rPr>
            <w:rStyle w:val="LinkdaInternet"/>
            <w:vanish/>
          </w:rPr>
          <w:t>35</w:t>
        </w:r>
        <w:r>
          <w:rPr>
            <w:rStyle w:val="LinkdaInternet"/>
            <w:vanish/>
          </w:rPr>
          <w:fldChar w:fldCharType="end"/>
        </w:r>
      </w:hyperlink>
    </w:p>
    <w:p>
      <w:pPr>
        <w:pStyle w:val="Normal"/>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3" w:name="_Toc118711705"/>
      <w:bookmarkStart w:id="4" w:name="_Toc109911954"/>
      <w:bookmarkStart w:id="5" w:name="_Toc366562199"/>
      <w:r>
        <w:rPr/>
        <w:t>1 CONSIDERAÇÕES INICIAIS</w:t>
      </w:r>
      <w:bookmarkEnd w:id="3"/>
      <w:bookmarkEnd w:id="4"/>
      <w:bookmarkEnd w:id="5"/>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Os mecanismos de alterações tarifárias dos serviços de abastecimento de água e esgotamento sanitários são: 1) Revisão tarifária e 2) Reajuste tarifário.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A revisão tarifária representa a verificação e manutenção do equilíbrio econômico-financeiro dos serviços prestados em termos de volumes e valores dos recursos consumidos e aplicados (ou previstos para serem consumidos e aplicados) mais a remuneração do capital em determinado ciclo tarifário, enquanto o reajuste tarifário representa a adequação e ajustes do referido equilíbrio aos efeitos inflacionários e deflacionários.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A Resolução 001/2018 – ARSBAN retrata bem as referidas diferenças conceituais:</w:t>
      </w:r>
    </w:p>
    <w:p>
      <w:pPr>
        <w:pStyle w:val="Normal"/>
        <w:spacing w:lineRule="auto" w:line="360" w:before="0" w:after="0"/>
        <w:ind w:left="1701" w:hanging="0"/>
        <w:jc w:val="both"/>
        <w:rPr/>
      </w:pPr>
      <w:r>
        <w:rPr>
          <w:rFonts w:cs="Times New Roman" w:ascii="Times New Roman" w:hAnsi="Times New Roman"/>
          <w:sz w:val="20"/>
          <w:szCs w:val="20"/>
        </w:rPr>
        <w:t xml:space="preserve">XVI - </w:t>
      </w:r>
      <w:r>
        <w:rPr>
          <w:rFonts w:cs="Times New Roman" w:ascii="Times New Roman" w:hAnsi="Times New Roman"/>
          <w:b/>
          <w:sz w:val="20"/>
          <w:szCs w:val="20"/>
          <w:u w:val="single"/>
        </w:rPr>
        <w:t>Reajuste Tarifário</w:t>
      </w:r>
      <w:r>
        <w:rPr>
          <w:rFonts w:cs="Times New Roman" w:ascii="Times New Roman" w:hAnsi="Times New Roman"/>
          <w:sz w:val="20"/>
          <w:szCs w:val="20"/>
        </w:rPr>
        <w:t>: modelo de alteração tarifária que objetiva o ajuste econômico-financeiro proveniente da dinâmica inflacionária ou deflacionária captados por indicadores estabelecidos por normatização da Agência Reguladora;</w:t>
      </w:r>
    </w:p>
    <w:p>
      <w:pPr>
        <w:pStyle w:val="Normal"/>
        <w:spacing w:lineRule="auto" w:line="360" w:before="0" w:after="0"/>
        <w:ind w:left="1701" w:hanging="0"/>
        <w:jc w:val="both"/>
        <w:rPr/>
      </w:pPr>
      <w:r>
        <w:rPr>
          <w:rFonts w:cs="Times New Roman" w:ascii="Times New Roman" w:hAnsi="Times New Roman"/>
          <w:sz w:val="20"/>
          <w:szCs w:val="20"/>
        </w:rPr>
        <w:t xml:space="preserve">XVII - </w:t>
      </w:r>
      <w:r>
        <w:rPr>
          <w:rFonts w:cs="Times New Roman" w:ascii="Times New Roman" w:hAnsi="Times New Roman"/>
          <w:b/>
          <w:sz w:val="20"/>
          <w:szCs w:val="20"/>
          <w:u w:val="single"/>
        </w:rPr>
        <w:t>Revisão Tarifária</w:t>
      </w:r>
      <w:r>
        <w:rPr>
          <w:rFonts w:cs="Times New Roman" w:ascii="Times New Roman" w:hAnsi="Times New Roman"/>
          <w:sz w:val="20"/>
          <w:szCs w:val="20"/>
        </w:rPr>
        <w:t xml:space="preserve">: método de alteração tarifária derivado de um processo de análise do equilíbrio econômico-financeiro dos serviços prestados pela concessionária e apreciado pela Agência Reguladora a partir da recepção do pleito de revisão tarifária, que objetiva a correção de eventuais distorções e dá início a um novo ciclo tarifário, podendo ser classificada como </w:t>
      </w:r>
      <w:r>
        <w:rPr>
          <w:rFonts w:cs="Times New Roman" w:ascii="Times New Roman" w:hAnsi="Times New Roman"/>
          <w:b/>
          <w:bCs/>
          <w:sz w:val="20"/>
          <w:szCs w:val="20"/>
        </w:rPr>
        <w:t>revisão tarifária periódica</w:t>
      </w:r>
      <w:r>
        <w:rPr>
          <w:rFonts w:cs="Times New Roman" w:ascii="Times New Roman" w:hAnsi="Times New Roman"/>
          <w:sz w:val="20"/>
          <w:szCs w:val="20"/>
        </w:rPr>
        <w:t xml:space="preserve"> ou </w:t>
      </w:r>
      <w:r>
        <w:rPr>
          <w:rFonts w:cs="Times New Roman" w:ascii="Times New Roman" w:hAnsi="Times New Roman"/>
          <w:b/>
          <w:bCs/>
          <w:sz w:val="20"/>
          <w:szCs w:val="20"/>
        </w:rPr>
        <w:t>extraordinária</w:t>
      </w:r>
      <w:r>
        <w:rPr>
          <w:rFonts w:cs="Times New Roman" w:ascii="Times New Roman" w:hAnsi="Times New Roman"/>
          <w:sz w:val="20"/>
          <w:szCs w:val="20"/>
        </w:rPr>
        <w:t>; (destaques acrescentados).</w:t>
      </w:r>
    </w:p>
    <w:p>
      <w:pPr>
        <w:pStyle w:val="Normal"/>
        <w:spacing w:lineRule="auto" w:line="360" w:before="0" w:after="0"/>
        <w:ind w:firstLine="709"/>
        <w:jc w:val="both"/>
        <w:rPr>
          <w:rFonts w:ascii="Times New Roman" w:hAnsi="Times New Roman" w:cs="Times New Roman"/>
          <w:strike/>
          <w:sz w:val="24"/>
          <w:szCs w:val="24"/>
        </w:rPr>
      </w:pPr>
      <w:r>
        <w:rPr>
          <w:rFonts w:cs="Times New Roman" w:ascii="Times New Roman" w:hAnsi="Times New Roman"/>
          <w:sz w:val="24"/>
          <w:szCs w:val="24"/>
        </w:rPr>
        <w:t>Sobre o 4º e mais atual ciclo tarifário, a Resolução 001/2021 – ARSBAN estabeleceu o percentual de equilíbrio econômico-financeiro de 4,42% a título revisão tarifária dos serviços prestados em Natal.</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A alteração tarifária imediatamente anterior ao início do 4º ciclo foi de 4,36% de reajuste tarifário (por cesta de índices), aprovada pela Resolução 001/2018 – ARSBAN. Já a Resolução 002/2018 – ARSBAN estabeleceu três reajustes tarifários dentro do 4º ciclo, respeitando o intervalo mínimo de 12 meses; e a Resolução 001/2021 ainda determinou que a ARSBAN apresentasse uma nota técnica com a metodologia de reajuste tarifário.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Neste sentido, essa Nota Técnica - NT </w:t>
      </w:r>
      <w:r>
        <w:rPr/>
        <w:t>a</w:t>
      </w:r>
      <w:r>
        <w:rPr>
          <w:rFonts w:cs="Times New Roman" w:ascii="Times New Roman" w:hAnsi="Times New Roman"/>
          <w:sz w:val="24"/>
          <w:szCs w:val="24"/>
        </w:rPr>
        <w:t>presenta o modelo de reajuste tarifário a ser seguido para os serviços de abastecimento de água e esgotamento sanitário prestados no Município do Natal.</w:t>
      </w:r>
    </w:p>
    <w:p>
      <w:pPr>
        <w:pStyle w:val="Normal"/>
        <w:spacing w:lineRule="auto" w:line="360" w:before="0" w:after="0"/>
        <w:ind w:firstLine="709"/>
        <w:jc w:val="both"/>
        <w:rPr/>
      </w:pPr>
      <w:r>
        <w:rPr>
          <w:rFonts w:cs="Times New Roman" w:ascii="Times New Roman" w:hAnsi="Times New Roman"/>
          <w:sz w:val="24"/>
          <w:szCs w:val="24"/>
        </w:rPr>
        <w:t>Buscando alcançar o objetivo proposto, a NT foi dividida em quatro partes.</w:t>
      </w:r>
      <w:r>
        <w:rPr>
          <w:rFonts w:cs="Times New Roman" w:ascii="Times New Roman" w:hAnsi="Times New Roman"/>
          <w:strike/>
          <w:sz w:val="24"/>
          <w:szCs w:val="24"/>
        </w:rPr>
        <w:t>:</w:t>
      </w:r>
      <w:r>
        <w:rPr>
          <w:rFonts w:cs="Times New Roman" w:ascii="Times New Roman" w:hAnsi="Times New Roman"/>
          <w:sz w:val="24"/>
          <w:szCs w:val="24"/>
        </w:rPr>
        <w:t xml:space="preserve"> Na primeira parte, realizam-se as considerações inicias sobre a metodologia. Na segunda parte, são abordadas as condições regulamentais para o reajuste tarifário. Na terceira, encontra-se a descrição metodológica para cálculo do percentual de reajuste tarifário. Finalmente, na quarta parte estão as disposições finais sobre a modelagem apresentada.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6" w:name="_Toc229043252"/>
      <w:bookmarkStart w:id="7" w:name="_Toc64185176"/>
      <w:bookmarkStart w:id="8" w:name="_Toc118711706"/>
      <w:bookmarkStart w:id="9" w:name="_Toc109911955"/>
      <w:bookmarkStart w:id="10" w:name="_Toc234222485"/>
      <w:bookmarkStart w:id="11" w:name="_Toc366562200"/>
      <w:r>
        <w:rPr/>
        <w:t>2 DAS CONDIÇÕES DE REJUSTE DAS TARIFAS</w:t>
      </w:r>
      <w:bookmarkEnd w:id="6"/>
      <w:bookmarkEnd w:id="7"/>
      <w:bookmarkEnd w:id="8"/>
      <w:bookmarkEnd w:id="9"/>
      <w:bookmarkEnd w:id="10"/>
      <w:bookmarkEnd w:id="11"/>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lineRule="auto" w:line="360" w:before="0" w:after="0"/>
        <w:ind w:firstLine="709"/>
        <w:jc w:val="both"/>
        <w:rPr/>
      </w:pPr>
      <w:r>
        <w:rPr>
          <w:rFonts w:cs="Times New Roman" w:ascii="Times New Roman" w:hAnsi="Times New Roman"/>
          <w:sz w:val="24"/>
          <w:szCs w:val="24"/>
        </w:rPr>
        <w:t xml:space="preserve">O Art. 37 da Lei 11.445/07, atualizada pela Lei 14.026/20, estabeleceu que os </w:t>
      </w:r>
      <w:r>
        <w:rPr>
          <w:rFonts w:cs="Times New Roman" w:ascii="Times New Roman" w:hAnsi="Times New Roman"/>
          <w:i/>
          <w:sz w:val="24"/>
          <w:szCs w:val="24"/>
        </w:rPr>
        <w:t>“[...] reajustes de tarifas de serviços públicos de saneamento básico serão realizados observando-se o intervalo mínimo de 12 (doze) meses, de acordo com as normas legais, regulamentares e contratuais.</w:t>
      </w:r>
      <w:r>
        <w:rPr>
          <w:rFonts w:cs="Times New Roman" w:ascii="Times New Roman" w:hAnsi="Times New Roman"/>
          <w:sz w:val="24"/>
          <w:szCs w:val="24"/>
        </w:rPr>
        <w:t>”. Este mesmo intervalo também foi regulamentado pelo Art. 50 do Decreto 7.217/10.</w:t>
      </w:r>
    </w:p>
    <w:p>
      <w:pPr>
        <w:pStyle w:val="Normal"/>
        <w:tabs>
          <w:tab w:val="clear" w:pos="720"/>
          <w:tab w:val="left" w:pos="567" w:leader="none"/>
        </w:tabs>
        <w:spacing w:lineRule="auto" w:line="360" w:before="0" w:after="0"/>
        <w:ind w:firstLine="709"/>
        <w:jc w:val="both"/>
        <w:rPr/>
      </w:pPr>
      <w:r>
        <w:rPr>
          <w:rFonts w:eastAsia="Times New Roman" w:cs="Times New Roman" w:ascii="Times New Roman" w:hAnsi="Times New Roman"/>
          <w:sz w:val="24"/>
          <w:szCs w:val="24"/>
          <w:lang w:eastAsia="pt-BR"/>
        </w:rPr>
        <w:t xml:space="preserve">A regulamentação dada pelo Art. 49 do </w:t>
      </w:r>
      <w:r>
        <w:rPr>
          <w:rFonts w:cs="Times New Roman" w:ascii="Times New Roman" w:hAnsi="Times New Roman"/>
          <w:sz w:val="24"/>
          <w:szCs w:val="24"/>
        </w:rPr>
        <w:t>Decreto 7.217/10 estabelece que a</w:t>
      </w:r>
      <w:r>
        <w:rPr>
          <w:rFonts w:eastAsia="Times New Roman" w:cs="Times New Roman" w:ascii="Times New Roman" w:hAnsi="Times New Roman"/>
          <w:sz w:val="24"/>
          <w:szCs w:val="24"/>
          <w:lang w:eastAsia="pt-BR"/>
        </w:rPr>
        <w:t xml:space="preserve">s </w:t>
      </w:r>
      <w:r>
        <w:rPr>
          <w:rFonts w:eastAsia="Times New Roman" w:cs="Times New Roman" w:ascii="Times New Roman" w:hAnsi="Times New Roman"/>
          <w:i/>
          <w:sz w:val="24"/>
          <w:szCs w:val="24"/>
          <w:lang w:eastAsia="pt-BR"/>
        </w:rPr>
        <w:t>“[...] tarifas e outros preços públicos serão fixados de forma clara e objetiva, devendo os reajustes e as revisões ser tornados públicos com antecedência mínima de trinta dias com relação à sua aplicação</w:t>
      </w:r>
      <w:r>
        <w:rPr>
          <w:rFonts w:eastAsia="Times New Roman" w:cs="Times New Roman" w:ascii="Times New Roman" w:hAnsi="Times New Roman"/>
          <w:sz w:val="24"/>
          <w:szCs w:val="24"/>
          <w:lang w:eastAsia="pt-BR"/>
        </w:rPr>
        <w:t>”.</w:t>
      </w:r>
    </w:p>
    <w:p>
      <w:pPr>
        <w:pStyle w:val="NormalWeb"/>
        <w:spacing w:lineRule="auto" w:line="360" w:before="100" w:after="0"/>
        <w:ind w:firstLine="708"/>
        <w:jc w:val="both"/>
        <w:rPr>
          <w:szCs w:val="24"/>
        </w:rPr>
      </w:pPr>
      <w:r>
        <w:rPr>
          <w:szCs w:val="24"/>
        </w:rPr>
        <w:t>Relacionando os dispositivos regulamentares estabelecidos pela Lei 11.445/07 e Decreto 7.217/10, observa-se a preocupação com o processo de reajuste tarifário, o qual deve ser claro, objetivo e intervalar (mínimo de 12 meses) para que os consumidores e órgãos reguladores possam entender os percentuais de alteração tarifária e para que os consumidores possam se programar.</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A metodologia apresentada na Nota Técnica 001/2018 – ARSBAN e aprovada pela Resolução 002/2018 – ARSBAN fixou um reajuste tarifário a cada passagem de 12 meses do ciclo tarifário e uma nova revisão tarifária com data-base no 48º mês do ciclo, resultando em três reajustes tarifários dentro do ciclo tarifário, considerando que o processo de revisão tarifária sobrepõe o reajuste tarifário. Neste sentido, as condições para os reajustes de tarifas são a passagem de 12 meses de uma determinada alteração tarifária, sendo reajuste ou revisão.</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spacing w:lineRule="auto" w:line="360"/>
        <w:ind w:left="432" w:hanging="432"/>
        <w:rPr/>
      </w:pPr>
      <w:bookmarkStart w:id="12" w:name="_Toc118711707"/>
      <w:bookmarkStart w:id="13" w:name="_Toc109911956"/>
      <w:bookmarkStart w:id="14" w:name="_Toc234222490"/>
      <w:bookmarkStart w:id="15" w:name="_Toc366562204"/>
      <w:bookmarkStart w:id="16" w:name="_Toc229043257"/>
      <w:r>
        <w:rPr/>
        <w:t>3 DA METODOLOGIA PARA CÁLCULO DO PERCENTUAL DE RE</w:t>
      </w:r>
      <w:bookmarkEnd w:id="14"/>
      <w:bookmarkEnd w:id="15"/>
      <w:bookmarkEnd w:id="16"/>
      <w:r>
        <w:rPr/>
        <w:t>AJUSTE</w:t>
      </w:r>
      <w:bookmarkEnd w:id="12"/>
      <w:bookmarkEnd w:id="13"/>
    </w:p>
    <w:p>
      <w:pPr>
        <w:pStyle w:val="Corpodotexto"/>
        <w:rPr/>
      </w:pPr>
      <w:r>
        <w:rPr/>
      </w:r>
    </w:p>
    <w:p>
      <w:pPr>
        <w:pStyle w:val="Corpodotexto"/>
        <w:ind w:firstLine="708"/>
        <w:rPr/>
      </w:pPr>
      <w:r>
        <w:rPr/>
        <w:t>A utilização de um único indicador inflacionário como Índice Geral de Preços - IGP, Índice Nacional de Preços ao Consumidor Amplo - IPCA, Índice Nacional de Custo da Construção - INCC etc. pode prejudicar a tarifa e, com isto, o equilíbrio econômico-financeiro do operador ou, até mesmo, desequilíbrio tarifário em desfavor do consumidor, para casos que se constatam deflações. Neste caso, a alternativa mais segura é buscar um composto de índices, priorizando o cálculo de inflações internas dos recursos consumidos, recorrendo a índices inflacionários nacionais, locais ou internos da prestação dos serviços, que melhor se encaixem em cada recurso utilizado pela concessionária.</w:t>
      </w:r>
    </w:p>
    <w:p>
      <w:pPr>
        <w:pStyle w:val="Corpodotexto"/>
        <w:ind w:firstLine="709"/>
        <w:rPr/>
      </w:pPr>
      <w:r>
        <w:rPr/>
        <w:t>Até a presente data, não existia uma metodologia estruturada e desenvolvida pelo poder concedente sobre mecanismo de reajuste tarifário dos serviços de abastecimento de água e esgotamento sanitários prestados no município do Natal, sendo julgados os pleitos com base nas propostas metodológicas estruturadas pela concessionária (Bases dos percentuais contidos nas Resoluções 001/2015, 001/2016, 003/2016 e 001/2018 – ARSBAN). Dessa forma, a metodologia atual pretende combinar a prática anterior com as tendências regulatórias brasileiras para o setor.</w:t>
      </w:r>
    </w:p>
    <w:p>
      <w:pPr>
        <w:pStyle w:val="Corpodotexto"/>
        <w:ind w:firstLine="708"/>
        <w:rPr/>
      </w:pPr>
      <w:r>
        <w:rPr/>
        <w:t xml:space="preserve">Segundo a Nota Técnica 001/2018 – ARSBAN, o regime tarifário é híbrido, denominado </w:t>
      </w:r>
      <w:r>
        <w:rPr>
          <w:i/>
        </w:rPr>
        <w:t>Rate-of-returncap</w:t>
      </w:r>
      <w:r>
        <w:rPr>
          <w:rStyle w:val="Ncoradanotaderodap"/>
          <w:i/>
        </w:rPr>
        <w:footnoteReference w:id="2"/>
      </w:r>
      <w:r>
        <w:rPr/>
        <w:t>, sendo resultante dos seguintes componentes tarifários:</w:t>
      </w:r>
    </w:p>
    <w:p>
      <w:pPr>
        <w:pStyle w:val="ListParagraph"/>
        <w:numPr>
          <w:ilvl w:val="0"/>
          <w:numId w:val="1"/>
        </w:numPr>
        <w:spacing w:before="0" w:after="0"/>
        <w:contextualSpacing/>
        <w:rPr/>
      </w:pPr>
      <w:r>
        <w:rPr>
          <w:rFonts w:cs="Times New Roman" w:ascii="Times New Roman" w:hAnsi="Times New Roman"/>
          <w:b/>
          <w:szCs w:val="24"/>
        </w:rPr>
        <w:t>Despesas e gastos operacionais (OPEX):</w:t>
      </w:r>
      <w:r>
        <w:rPr>
          <w:rFonts w:cs="Times New Roman" w:ascii="Times New Roman" w:hAnsi="Times New Roman"/>
          <w:szCs w:val="24"/>
        </w:rPr>
        <w:t xml:space="preserve"> “[...] </w:t>
      </w:r>
      <w:r>
        <w:rPr>
          <w:rFonts w:cs="Times New Roman" w:ascii="Times New Roman" w:hAnsi="Times New Roman"/>
          <w:i/>
          <w:szCs w:val="24"/>
        </w:rPr>
        <w:t>I) Despesas e custos com Pessoal: salários, encargos e benefícios; II) Despesas e custos com materiais; IIII) Despesas e custos com energia elétrica; IV) Despesas e custos com outros serviços de terceiros; V) Despesas e custos gerais; e; VI) Despesas com impostos, taxas e contribuições</w:t>
      </w:r>
      <w:r>
        <w:rPr>
          <w:rFonts w:cs="Times New Roman" w:ascii="Times New Roman" w:hAnsi="Times New Roman"/>
          <w:szCs w:val="24"/>
        </w:rPr>
        <w:t>;</w:t>
      </w:r>
    </w:p>
    <w:p>
      <w:pPr>
        <w:pStyle w:val="ListParagraph"/>
        <w:numPr>
          <w:ilvl w:val="0"/>
          <w:numId w:val="1"/>
        </w:numPr>
        <w:spacing w:before="0" w:after="0"/>
        <w:contextualSpacing/>
        <w:rPr/>
      </w:pPr>
      <w:r>
        <w:rPr>
          <w:rFonts w:cs="Times New Roman" w:ascii="Times New Roman" w:hAnsi="Times New Roman"/>
          <w:b/>
          <w:i/>
          <w:szCs w:val="24"/>
        </w:rPr>
        <w:t>“</w:t>
      </w:r>
      <w:r>
        <w:rPr>
          <w:rFonts w:cs="Times New Roman" w:ascii="Times New Roman" w:hAnsi="Times New Roman"/>
          <w:b/>
          <w:i/>
          <w:szCs w:val="24"/>
        </w:rPr>
        <w:t>Perdas com receitas irrecuperáveis</w:t>
      </w:r>
      <w:r>
        <w:rPr>
          <w:rFonts w:cs="Times New Roman" w:ascii="Times New Roman" w:hAnsi="Times New Roman"/>
          <w:b/>
          <w:szCs w:val="24"/>
        </w:rPr>
        <w:t xml:space="preserve"> [...]” (PRI)</w:t>
      </w:r>
      <w:r>
        <w:rPr>
          <w:rFonts w:cs="Times New Roman" w:ascii="Times New Roman" w:hAnsi="Times New Roman"/>
          <w:szCs w:val="24"/>
        </w:rPr>
        <w:t>;</w:t>
      </w:r>
    </w:p>
    <w:p>
      <w:pPr>
        <w:pStyle w:val="ListParagraph"/>
        <w:numPr>
          <w:ilvl w:val="0"/>
          <w:numId w:val="1"/>
        </w:numPr>
        <w:spacing w:before="0" w:after="0"/>
        <w:contextualSpacing/>
        <w:rPr/>
      </w:pPr>
      <w:r>
        <w:rPr>
          <w:rFonts w:cs="Times New Roman" w:ascii="Times New Roman" w:hAnsi="Times New Roman"/>
          <w:b/>
          <w:szCs w:val="24"/>
        </w:rPr>
        <w:t>Despesas e gastos de capital (CAPEX):</w:t>
      </w:r>
      <w:r>
        <w:rPr>
          <w:rFonts w:cs="Times New Roman" w:ascii="Times New Roman" w:hAnsi="Times New Roman"/>
          <w:szCs w:val="24"/>
        </w:rPr>
        <w:t xml:space="preserve"> “</w:t>
      </w:r>
      <w:r>
        <w:rPr>
          <w:rFonts w:cs="Times New Roman" w:ascii="Times New Roman" w:hAnsi="Times New Roman"/>
          <w:i/>
          <w:szCs w:val="24"/>
        </w:rPr>
        <w:t xml:space="preserve">Despesas e custos com depreciação e amortização </w:t>
      </w:r>
      <w:r>
        <w:rPr>
          <w:rFonts w:cs="Times New Roman" w:ascii="Times New Roman" w:hAnsi="Times New Roman"/>
          <w:szCs w:val="24"/>
        </w:rPr>
        <w:t>[...]</w:t>
      </w:r>
      <w:r>
        <w:rPr>
          <w:rFonts w:cs="Times New Roman" w:ascii="Times New Roman" w:hAnsi="Times New Roman"/>
          <w:i/>
          <w:szCs w:val="24"/>
        </w:rPr>
        <w:t xml:space="preserve">; e; Remuneração do investimento reconhecido </w:t>
      </w:r>
      <w:r>
        <w:rPr>
          <w:rFonts w:cs="Times New Roman" w:ascii="Times New Roman" w:hAnsi="Times New Roman"/>
          <w:szCs w:val="24"/>
        </w:rPr>
        <w:t>[...]”</w:t>
      </w:r>
      <w:r>
        <w:rPr>
          <w:rFonts w:cs="Times New Roman" w:ascii="Times New Roman" w:hAnsi="Times New Roman"/>
          <w:i/>
          <w:szCs w:val="24"/>
        </w:rPr>
        <w:t>.</w:t>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A mesma nota técnica estabelece que seja calculada da seguinte forma:</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AaaaaaaRapido"/>
              <w:widowControl w:val="false"/>
              <w:spacing w:before="0" w:after="0"/>
              <w:jc w:val="center"/>
              <w:rPr>
                <w:color w:val="auto"/>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REN</m:t>
                      </m:r>
                    </m:e>
                    <m:sub>
                      <m:r>
                        <w:rPr>
                          <w:rFonts w:ascii="Cambria Math" w:hAnsi="Cambria Math"/>
                        </w:rPr>
                        <m:t xml:space="preserve">i</m:t>
                      </m:r>
                    </m:sub>
                  </m:sSub>
                </m:e>
              </m:nary>
            </m:oMath>
            <w:r>
              <w:rPr>
                <w:color w:val="auto"/>
                <w:sz w:val="20"/>
                <w:szCs w:val="20"/>
              </w:rPr>
              <w:t xml:space="preserve">= </w:t>
            </w: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OPEX</m:t>
                      </m:r>
                    </m:e>
                    <m:sub>
                      <m:r>
                        <w:rPr>
                          <w:rFonts w:ascii="Cambria Math" w:hAnsi="Cambria Math"/>
                        </w:rPr>
                        <m:t xml:space="preserve">i</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PRI</m:t>
                          </m:r>
                        </m:e>
                        <m:sub>
                          <m:r>
                            <w:rPr>
                              <w:rFonts w:ascii="Cambria Math" w:hAnsi="Cambria Math"/>
                            </w:rPr>
                            <m:t xml:space="preserve">i</m:t>
                          </m:r>
                        </m:sub>
                      </m:sSub>
                    </m:e>
                  </m:nary>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CAPEX</m:t>
                          </m:r>
                        </m:e>
                        <m:sub>
                          <m:r>
                            <w:rPr>
                              <w:rFonts w:ascii="Cambria Math" w:hAnsi="Cambria Math"/>
                            </w:rPr>
                            <m:t xml:space="preserve">i</m:t>
                          </m:r>
                        </m:sub>
                      </m:sSub>
                    </m:e>
                  </m:nary>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r>
    </w:tbl>
    <w:p>
      <w:pPr>
        <w:pStyle w:val="AaaaaaaRapido"/>
        <w:spacing w:lineRule="auto" w:line="240" w:before="0" w:after="0"/>
        <w:ind w:firstLine="142"/>
        <w:rPr>
          <w:color w:val="auto"/>
        </w:rPr>
      </w:pPr>
      <w:r>
        <w:rPr>
          <w:color w:val="auto"/>
        </w:rPr>
        <w:t>Sendo:</w:t>
      </w:r>
    </w:p>
    <w:p>
      <w:pPr>
        <w:pStyle w:val="AaaaaaaRapido"/>
        <w:tabs>
          <w:tab w:val="clear" w:pos="720"/>
          <w:tab w:val="left" w:pos="1519" w:leader="none"/>
        </w:tabs>
        <w:spacing w:lineRule="auto" w:line="240" w:before="0" w:after="0"/>
        <w:ind w:left="108" w:hanging="0"/>
        <w:jc w:val="left"/>
        <w:rPr>
          <w:color w:val="auto"/>
        </w:rPr>
      </w:pPr>
      <w:r>
        <w:rPr/>
      </w:r>
      <m:oMath xmlns:m="http://schemas.openxmlformats.org/officeDocument/2006/math">
        <m:sSub>
          <m:e>
            <m:r>
              <w:rPr>
                <w:rFonts w:ascii="Cambria Math" w:hAnsi="Cambria Math"/>
              </w:rPr>
              <m:t xml:space="preserve">REN</m:t>
            </m:r>
          </m:e>
          <m:sub>
            <m:r>
              <w:rPr>
                <w:rFonts w:ascii="Cambria Math" w:hAnsi="Cambria Math"/>
              </w:rPr>
              <m:t xml:space="preserve">i</m:t>
            </m:r>
          </m:sub>
        </m:sSub>
      </m:oMath>
      <w:r>
        <w:rPr>
          <w:color w:val="auto"/>
          <w:sz w:val="20"/>
          <w:szCs w:val="20"/>
        </w:rPr>
        <w:t>= Receita necessária projetada no período</w:t>
      </w:r>
      <w:r>
        <w:rPr>
          <w:i/>
          <w:color w:val="auto"/>
          <w:sz w:val="20"/>
          <w:szCs w:val="20"/>
        </w:rPr>
        <w:t xml:space="preserve"> i</w:t>
      </w:r>
      <w:r>
        <w:rPr>
          <w:color w:val="auto"/>
          <w:sz w:val="20"/>
          <w:szCs w:val="20"/>
        </w:rPr>
        <w:t>.</w:t>
      </w:r>
    </w:p>
    <w:p>
      <w:pPr>
        <w:pStyle w:val="AaaaaaaRapido"/>
        <w:tabs>
          <w:tab w:val="clear" w:pos="720"/>
          <w:tab w:val="left" w:pos="1519" w:leader="none"/>
        </w:tabs>
        <w:spacing w:lineRule="auto" w:line="240" w:before="0" w:after="0"/>
        <w:ind w:left="108" w:hanging="0"/>
        <w:jc w:val="left"/>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i</m:t>
            </m:r>
          </m:sub>
        </m:sSub>
      </m:oMath>
      <w:r>
        <w:rPr>
          <w:color w:val="auto"/>
          <w:sz w:val="20"/>
          <w:szCs w:val="20"/>
        </w:rPr>
        <w:t>= Despesas e custos operacionais projetados no período</w:t>
      </w:r>
      <w:r>
        <w:rPr>
          <w:i/>
          <w:color w:val="auto"/>
          <w:sz w:val="20"/>
          <w:szCs w:val="20"/>
        </w:rPr>
        <w:t xml:space="preserve"> i</w:t>
      </w:r>
      <w:r>
        <w:rPr>
          <w:color w:val="auto"/>
          <w:sz w:val="20"/>
          <w:szCs w:val="20"/>
        </w:rPr>
        <w:t>.</w:t>
      </w:r>
    </w:p>
    <w:p>
      <w:pPr>
        <w:pStyle w:val="AaaaaaaRapido"/>
        <w:tabs>
          <w:tab w:val="clear" w:pos="720"/>
          <w:tab w:val="left" w:pos="1519" w:leader="none"/>
        </w:tabs>
        <w:spacing w:lineRule="auto" w:line="240" w:before="0" w:after="0"/>
        <w:ind w:left="108" w:hanging="0"/>
        <w:jc w:val="left"/>
        <w:rPr>
          <w:color w:val="auto"/>
        </w:rPr>
      </w:pPr>
      <w:r>
        <w:rPr/>
      </w:r>
      <m:oMath xmlns:m="http://schemas.openxmlformats.org/officeDocument/2006/math">
        <m:sSub>
          <m:e>
            <m:r>
              <w:rPr>
                <w:rFonts w:ascii="Cambria Math" w:hAnsi="Cambria Math"/>
              </w:rPr>
              <m:t xml:space="preserve">PRI</m:t>
            </m:r>
          </m:e>
          <m:sub>
            <m:r>
              <w:rPr>
                <w:rFonts w:ascii="Cambria Math" w:hAnsi="Cambria Math"/>
              </w:rPr>
              <m:t xml:space="preserve">i</m:t>
            </m:r>
          </m:sub>
        </m:sSub>
      </m:oMath>
      <w:r>
        <w:rPr>
          <w:color w:val="auto"/>
          <w:sz w:val="20"/>
          <w:szCs w:val="20"/>
        </w:rPr>
        <w:t>= Perdas com receitas</w:t>
      </w:r>
      <w:r>
        <w:rPr>
          <w:i/>
          <w:color w:val="auto"/>
          <w:sz w:val="20"/>
          <w:szCs w:val="20"/>
        </w:rPr>
        <w:t xml:space="preserve"> i</w:t>
      </w:r>
      <w:r>
        <w:rPr>
          <w:color w:val="auto"/>
          <w:sz w:val="20"/>
          <w:szCs w:val="20"/>
        </w:rPr>
        <w:t>rrecuperáveis projetadas no período</w:t>
      </w:r>
      <w:r>
        <w:rPr>
          <w:i/>
          <w:color w:val="auto"/>
          <w:sz w:val="20"/>
          <w:szCs w:val="20"/>
        </w:rPr>
        <w:t xml:space="preserve"> i</w:t>
      </w:r>
      <w:r>
        <w:rPr>
          <w:color w:val="auto"/>
          <w:sz w:val="20"/>
          <w:szCs w:val="20"/>
        </w:rPr>
        <w:t>.</w:t>
      </w:r>
    </w:p>
    <w:p>
      <w:pPr>
        <w:pStyle w:val="AaaaaaaRapido"/>
        <w:tabs>
          <w:tab w:val="clear" w:pos="720"/>
          <w:tab w:val="left" w:pos="1519" w:leader="none"/>
        </w:tabs>
        <w:spacing w:lineRule="auto" w:line="240" w:before="0" w:after="0"/>
        <w:ind w:left="108" w:hanging="0"/>
        <w:jc w:val="left"/>
        <w:rPr>
          <w:color w:val="auto"/>
        </w:rPr>
      </w:pPr>
      <w:r>
        <w:rPr/>
      </w:r>
      <m:oMath xmlns:m="http://schemas.openxmlformats.org/officeDocument/2006/math">
        <m:sSub>
          <m:e>
            <m:r>
              <w:rPr>
                <w:rFonts w:ascii="Cambria Math" w:hAnsi="Cambria Math"/>
              </w:rPr>
              <m:t xml:space="preserve">CAPEX</m:t>
            </m:r>
          </m:e>
          <m:sub>
            <m:r>
              <w:rPr>
                <w:rFonts w:ascii="Cambria Math" w:hAnsi="Cambria Math"/>
              </w:rPr>
              <m:t xml:space="preserve">i</m:t>
            </m:r>
          </m:sub>
        </m:sSub>
      </m:oMath>
      <w:r>
        <w:rPr>
          <w:color w:val="auto"/>
          <w:sz w:val="20"/>
          <w:szCs w:val="20"/>
        </w:rPr>
        <w:t>= Despesas e custos de capital projetados no período</w:t>
      </w:r>
      <w:r>
        <w:rPr>
          <w:i/>
          <w:color w:val="auto"/>
          <w:sz w:val="20"/>
          <w:szCs w:val="20"/>
        </w:rPr>
        <w:t xml:space="preserve"> i</w:t>
      </w:r>
      <w:r>
        <w:rPr>
          <w:color w:val="auto"/>
          <w:sz w:val="20"/>
          <w:szCs w:val="20"/>
        </w:rPr>
        <w:t>.</w:t>
      </w:r>
    </w:p>
    <w:p>
      <w:pPr>
        <w:pStyle w:val="Normal"/>
        <w:spacing w:lineRule="auto" w:line="240" w:before="0" w:after="0"/>
        <w:ind w:left="108" w:hanging="0"/>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AaaaaaaRapido"/>
        <w:spacing w:before="0" w:after="0"/>
        <w:ind w:firstLine="709"/>
        <w:rPr>
          <w:color w:val="auto"/>
        </w:rPr>
      </w:pPr>
      <w:r>
        <w:rPr>
          <w:color w:val="auto"/>
        </w:rPr>
      </w:r>
    </w:p>
    <w:p>
      <w:pPr>
        <w:pStyle w:val="AaaaaaaRapido"/>
        <w:spacing w:before="0" w:after="0"/>
        <w:ind w:firstLine="709"/>
        <w:rPr>
          <w:color w:val="auto"/>
        </w:rPr>
      </w:pPr>
      <w:r>
        <w:rPr>
          <w:color w:val="auto"/>
        </w:rPr>
        <w:t>A Resolução 001/2021 – ARSBAN aprovou a aplicação do cálculo da receita necessária para o 4º ciclo tarifário sob as premissas da formulação matemática 1, conforme resultado regulatório final apresentado na Tabela 1.</w:t>
      </w:r>
    </w:p>
    <w:p>
      <w:pPr>
        <w:pStyle w:val="AaaaaaaRapido"/>
        <w:spacing w:before="0" w:after="0"/>
        <w:ind w:firstLine="709"/>
        <w:rPr>
          <w:color w:val="auto"/>
        </w:rPr>
      </w:pPr>
      <w:r>
        <w:rPr>
          <w:color w:val="auto"/>
        </w:rPr>
      </w:r>
    </w:p>
    <w:p>
      <w:pPr>
        <w:pStyle w:val="AaaaaaaRapido"/>
        <w:spacing w:before="0" w:after="0"/>
        <w:ind w:hanging="0"/>
        <w:jc w:val="center"/>
        <w:rPr>
          <w:b/>
          <w:b/>
          <w:color w:val="auto"/>
          <w:sz w:val="20"/>
          <w:szCs w:val="20"/>
        </w:rPr>
      </w:pPr>
      <w:r>
        <w:rPr>
          <w:b/>
          <w:color w:val="auto"/>
          <w:sz w:val="20"/>
          <w:szCs w:val="20"/>
        </w:rPr>
        <w:t>Tabela 1 – Composição da receita necessária projetada para o 4º ciclo tarifário</w:t>
      </w:r>
    </w:p>
    <w:tbl>
      <w:tblPr>
        <w:tblW w:w="8296" w:type="dxa"/>
        <w:jc w:val="center"/>
        <w:tblInd w:w="0" w:type="dxa"/>
        <w:tblCellMar>
          <w:top w:w="0" w:type="dxa"/>
          <w:left w:w="70" w:type="dxa"/>
          <w:bottom w:w="0" w:type="dxa"/>
          <w:right w:w="70" w:type="dxa"/>
        </w:tblCellMar>
        <w:tblLook w:firstRow="1" w:noVBand="1" w:lastRow="0" w:firstColumn="1" w:lastColumn="0" w:noHBand="0" w:val="04a0"/>
      </w:tblPr>
      <w:tblGrid>
        <w:gridCol w:w="1035"/>
        <w:gridCol w:w="205"/>
        <w:gridCol w:w="899"/>
        <w:gridCol w:w="4156"/>
        <w:gridCol w:w="1260"/>
        <w:gridCol w:w="740"/>
      </w:tblGrid>
      <w:tr>
        <w:trPr>
          <w:trHeight w:val="379" w:hRule="exact"/>
        </w:trPr>
        <w:tc>
          <w:tcPr>
            <w:tcW w:w="1035" w:type="dxa"/>
            <w:tcBorders>
              <w:top w:val="single" w:sz="4" w:space="0" w:color="000000"/>
              <w:bottom w:val="single" w:sz="8"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eastAsia="Times New Roman" w:cs="Times New Roman"/>
                <w:b/>
                <w:b/>
                <w:bCs/>
                <w:sz w:val="16"/>
                <w:szCs w:val="16"/>
                <w:lang w:eastAsia="pt-BR"/>
              </w:rPr>
            </w:pPr>
            <w:r>
              <w:rPr>
                <w:rFonts w:eastAsia="Times New Roman" w:cs="Times New Roman" w:ascii="Times New Roman" w:hAnsi="Times New Roman"/>
                <w:b/>
                <w:bCs/>
                <w:sz w:val="16"/>
                <w:szCs w:val="16"/>
                <w:lang w:eastAsia="pt-BR"/>
              </w:rPr>
              <w:t>Componente</w:t>
            </w:r>
          </w:p>
          <w:p>
            <w:pPr>
              <w:pStyle w:val="Normal"/>
              <w:spacing w:lineRule="auto" w:line="240" w:before="0" w:after="0"/>
              <w:jc w:val="center"/>
              <w:rPr>
                <w:rFonts w:ascii="Times New Roman" w:hAnsi="Times New Roman" w:eastAsia="Times New Roman" w:cs="Times New Roman"/>
                <w:b/>
                <w:b/>
                <w:bCs/>
                <w:sz w:val="16"/>
                <w:szCs w:val="16"/>
                <w:lang w:eastAsia="pt-BR"/>
              </w:rPr>
            </w:pPr>
            <w:r>
              <w:rPr>
                <w:rFonts w:eastAsia="Times New Roman" w:cs="Times New Roman" w:ascii="Times New Roman" w:hAnsi="Times New Roman"/>
                <w:b/>
                <w:bCs/>
                <w:sz w:val="16"/>
                <w:szCs w:val="16"/>
                <w:lang w:eastAsia="pt-BR"/>
              </w:rPr>
              <w:t>tarifário</w:t>
            </w:r>
          </w:p>
        </w:tc>
        <w:tc>
          <w:tcPr>
            <w:tcW w:w="5260" w:type="dxa"/>
            <w:gridSpan w:val="3"/>
            <w:tcBorders>
              <w:top w:val="single" w:sz="4" w:space="0" w:color="000000"/>
              <w:bottom w:val="single" w:sz="8" w:space="0" w:color="000000"/>
            </w:tcBorders>
            <w:shd w:color="auto" w:fill="D9D9D9" w:themeFill="background1" w:themeFillShade="d9" w:val="clear"/>
            <w:vAlign w:val="center"/>
          </w:tcPr>
          <w:p>
            <w:pPr>
              <w:pStyle w:val="Normal"/>
              <w:spacing w:lineRule="auto" w:line="240" w:before="0" w:after="0"/>
              <w:jc w:val="center"/>
              <w:rPr>
                <w:rFonts w:ascii="Times New Roman" w:hAnsi="Times New Roman" w:eastAsia="Times New Roman" w:cs="Times New Roman"/>
                <w:b/>
                <w:b/>
                <w:bCs/>
                <w:sz w:val="16"/>
                <w:szCs w:val="16"/>
                <w:lang w:eastAsia="pt-BR"/>
              </w:rPr>
            </w:pPr>
            <w:r>
              <w:rPr>
                <w:rFonts w:eastAsia="Times New Roman" w:cs="Times New Roman" w:ascii="Times New Roman" w:hAnsi="Times New Roman"/>
                <w:b/>
                <w:bCs/>
                <w:sz w:val="16"/>
                <w:szCs w:val="16"/>
                <w:lang w:eastAsia="pt-BR"/>
              </w:rPr>
              <w:t>Elemento</w:t>
            </w:r>
          </w:p>
          <w:p>
            <w:pPr>
              <w:pStyle w:val="Normal"/>
              <w:spacing w:lineRule="auto" w:line="240" w:before="0" w:after="0"/>
              <w:jc w:val="center"/>
              <w:rPr>
                <w:rFonts w:ascii="Times New Roman" w:hAnsi="Times New Roman" w:eastAsia="Times New Roman" w:cs="Times New Roman"/>
                <w:b/>
                <w:b/>
                <w:bCs/>
                <w:sz w:val="16"/>
                <w:szCs w:val="16"/>
                <w:lang w:eastAsia="pt-BR"/>
              </w:rPr>
            </w:pPr>
            <w:r>
              <w:rPr>
                <w:rFonts w:eastAsia="Times New Roman" w:cs="Times New Roman" w:ascii="Times New Roman" w:hAnsi="Times New Roman"/>
                <w:b/>
                <w:bCs/>
                <w:sz w:val="16"/>
                <w:szCs w:val="16"/>
                <w:lang w:eastAsia="pt-BR"/>
              </w:rPr>
              <w:t>econômico</w:t>
            </w:r>
          </w:p>
        </w:tc>
        <w:tc>
          <w:tcPr>
            <w:tcW w:w="1260" w:type="dxa"/>
            <w:tcBorders>
              <w:top w:val="single" w:sz="4"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rmal"/>
              <w:spacing w:before="0" w:after="200"/>
              <w:jc w:val="center"/>
              <w:rPr>
                <w:rFonts w:ascii="Times New Roman" w:hAnsi="Times New Roman" w:cs="Times New Roman"/>
                <w:b/>
                <w:b/>
                <w:bCs/>
                <w:sz w:val="16"/>
                <w:szCs w:val="16"/>
              </w:rPr>
            </w:pPr>
            <w:r>
              <w:rPr>
                <w:rFonts w:cs="Times New Roman" w:ascii="Times New Roman" w:hAnsi="Times New Roman"/>
                <w:b/>
                <w:bCs/>
                <w:sz w:val="16"/>
                <w:szCs w:val="16"/>
              </w:rPr>
              <w:t>Valor</w:t>
            </w:r>
          </w:p>
        </w:tc>
        <w:tc>
          <w:tcPr>
            <w:tcW w:w="740" w:type="dxa"/>
            <w:tcBorders>
              <w:top w:val="single" w:sz="4" w:space="0" w:color="000000"/>
              <w:bottom w:val="single" w:sz="8" w:space="0" w:color="000000"/>
            </w:tcBorders>
            <w:shd w:color="auto" w:fill="D9D9D9" w:themeFill="background1" w:themeFillShade="d9" w:val="clear"/>
            <w:vAlign w:val="center"/>
          </w:tcPr>
          <w:p>
            <w:pPr>
              <w:pStyle w:val="Normal"/>
              <w:spacing w:before="0" w:after="200"/>
              <w:jc w:val="center"/>
              <w:rPr>
                <w:rFonts w:ascii="Times New Roman" w:hAnsi="Times New Roman" w:cs="Times New Roman"/>
                <w:b/>
                <w:b/>
                <w:bCs/>
                <w:sz w:val="16"/>
                <w:szCs w:val="16"/>
              </w:rPr>
            </w:pPr>
            <w:r>
              <w:rPr>
                <w:rFonts w:cs="Times New Roman" w:ascii="Times New Roman" w:hAnsi="Times New Roman"/>
                <w:b/>
                <w:bCs/>
                <w:sz w:val="16"/>
                <w:szCs w:val="16"/>
              </w:rPr>
              <w:t>Rep (%)</w:t>
            </w:r>
          </w:p>
        </w:tc>
      </w:tr>
      <w:tr>
        <w:trPr>
          <w:trHeight w:val="227" w:hRule="exact"/>
        </w:trPr>
        <w:tc>
          <w:tcPr>
            <w:tcW w:w="1035" w:type="dxa"/>
            <w:vMerge w:val="restart"/>
            <w:tcBorders/>
          </w:tcPr>
          <w:p>
            <w:pPr>
              <w:pStyle w:val="Normal"/>
              <w:spacing w:lineRule="auto" w:line="240" w:before="0" w:after="0"/>
              <w:rPr>
                <w:rFonts w:ascii="Arial" w:hAnsi="Arial" w:cs="Arial"/>
                <w:b/>
                <w:b/>
                <w:sz w:val="16"/>
                <w:szCs w:val="16"/>
              </w:rPr>
            </w:pPr>
            <w:r>
              <w:rPr>
                <w:rFonts w:cs="Arial" w:ascii="Arial" w:hAnsi="Arial"/>
                <w:b/>
                <w:sz w:val="16"/>
                <w:szCs w:val="16"/>
              </w:rPr>
            </w:r>
          </w:p>
        </w:tc>
        <w:tc>
          <w:tcPr>
            <w:tcW w:w="1104" w:type="dxa"/>
            <w:gridSpan w:val="2"/>
            <w:tcBorders>
              <w:bottom w:val="single" w:sz="8" w:space="0" w:color="000000"/>
            </w:tcBorders>
            <w:shd w:color="auto" w:fill="auto" w:val="clear"/>
            <w:vAlign w:val="center"/>
          </w:tcPr>
          <w:p>
            <w:pPr>
              <w:pStyle w:val="Normal"/>
              <w:spacing w:lineRule="auto" w:line="240" w:before="0" w:after="0"/>
              <w:rPr>
                <w:rFonts w:ascii="Times New Roman" w:hAnsi="Times New Roman" w:eastAsia="Times New Roman" w:cs="Times New Roman"/>
                <w:b/>
                <w:b/>
                <w:bCs/>
                <w:sz w:val="16"/>
                <w:szCs w:val="16"/>
                <w:lang w:eastAsia="pt-BR"/>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REN</m:t>
                      </m:r>
                    </m:e>
                    <m:sub>
                      <m:r>
                        <w:rPr>
                          <w:rFonts w:ascii="Cambria Math" w:hAnsi="Cambria Math"/>
                        </w:rPr>
                        <m:t xml:space="preserve">i</m:t>
                      </m:r>
                    </m:sub>
                  </m:sSub>
                </m:e>
              </m:nary>
            </m:oMath>
            <w:r>
              <w:rPr>
                <w:rFonts w:cs="Times New Roman" w:ascii="Times New Roman" w:hAnsi="Times New Roman"/>
                <w:b/>
                <w:sz w:val="16"/>
                <w:szCs w:val="16"/>
              </w:rPr>
              <w:t xml:space="preserve"> </w:t>
            </w:r>
          </w:p>
        </w:tc>
        <w:tc>
          <w:tcPr>
            <w:tcW w:w="4156" w:type="dxa"/>
            <w:tcBorders>
              <w:bottom w:val="single" w:sz="8" w:space="0" w:color="000000"/>
            </w:tcBorders>
            <w:shd w:color="auto" w:fill="auto" w:val="clear"/>
            <w:vAlign w:val="center"/>
          </w:tcPr>
          <w:p>
            <w:pPr>
              <w:pStyle w:val="Normal"/>
              <w:spacing w:lineRule="auto" w:line="240" w:before="0" w:after="0"/>
              <w:rPr>
                <w:rFonts w:ascii="Times New Roman" w:hAnsi="Times New Roman" w:eastAsia="Times New Roman" w:cs="Times New Roman"/>
                <w:b/>
                <w:b/>
                <w:bCs/>
                <w:sz w:val="16"/>
                <w:szCs w:val="16"/>
                <w:lang w:eastAsia="pt-BR"/>
              </w:rPr>
            </w:pPr>
            <w:r>
              <w:rPr>
                <w:rFonts w:eastAsia="Times New Roman" w:cs="Times New Roman" w:ascii="Times New Roman" w:hAnsi="Times New Roman"/>
                <w:b/>
                <w:bCs/>
                <w:sz w:val="16"/>
                <w:szCs w:val="16"/>
                <w:lang w:eastAsia="pt-BR"/>
              </w:rPr>
              <w:t>Receita necessária projetada</w:t>
            </w:r>
          </w:p>
        </w:tc>
        <w:tc>
          <w:tcPr>
            <w:tcW w:w="1260" w:type="dxa"/>
            <w:tcBorders>
              <w:left w:val="single" w:sz="8" w:space="0" w:color="000000"/>
              <w:bottom w:val="single" w:sz="8"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b/>
                <w:b/>
                <w:bCs/>
                <w:sz w:val="16"/>
                <w:szCs w:val="16"/>
              </w:rPr>
            </w:pPr>
            <w:r>
              <w:rPr>
                <w:rFonts w:cs="Times New Roman" w:ascii="Times New Roman" w:hAnsi="Times New Roman"/>
                <w:b/>
                <w:bCs/>
                <w:sz w:val="16"/>
                <w:szCs w:val="16"/>
              </w:rPr>
              <w:t xml:space="preserve">1.732.491.551,76 </w:t>
            </w:r>
          </w:p>
        </w:tc>
        <w:tc>
          <w:tcPr>
            <w:tcW w:w="740" w:type="dxa"/>
            <w:tcBorders>
              <w:bottom w:val="single" w:sz="8" w:space="0" w:color="000000"/>
            </w:tcBorders>
            <w:shd w:color="auto" w:fill="auto" w:val="clear"/>
            <w:vAlign w:val="center"/>
          </w:tcPr>
          <w:p>
            <w:pPr>
              <w:pStyle w:val="Normal"/>
              <w:spacing w:before="0" w:after="200"/>
              <w:jc w:val="right"/>
              <w:rPr>
                <w:rFonts w:ascii="Times New Roman" w:hAnsi="Times New Roman" w:cs="Times New Roman"/>
                <w:b/>
                <w:b/>
                <w:bCs/>
                <w:sz w:val="16"/>
                <w:szCs w:val="16"/>
              </w:rPr>
            </w:pPr>
            <w:r>
              <w:rPr>
                <w:rFonts w:cs="Times New Roman" w:ascii="Times New Roman" w:hAnsi="Times New Roman"/>
                <w:b/>
                <w:bCs/>
                <w:sz w:val="16"/>
                <w:szCs w:val="16"/>
              </w:rPr>
              <w:t>100,00%</w:t>
            </w:r>
          </w:p>
        </w:tc>
      </w:tr>
      <w:tr>
        <w:trPr>
          <w:trHeight w:val="227" w:hRule="exact"/>
        </w:trPr>
        <w:tc>
          <w:tcPr>
            <w:tcW w:w="1035" w:type="dxa"/>
            <w:vMerge w:val="continue"/>
            <w:tcBorders>
              <w:bottom w:val="single" w:sz="4" w:space="0" w:color="000000"/>
            </w:tcBorders>
          </w:tcPr>
          <w:p>
            <w:pPr>
              <w:pStyle w:val="Normal"/>
              <w:spacing w:lineRule="auto" w:line="240" w:before="0" w:after="0"/>
              <w:rPr>
                <w:rFonts w:ascii="Arial" w:hAnsi="Arial" w:cs="Arial"/>
                <w:sz w:val="16"/>
                <w:szCs w:val="16"/>
              </w:rPr>
            </w:pPr>
            <w:r>
              <w:rPr>
                <w:rFonts w:cs="Arial" w:ascii="Arial" w:hAnsi="Arial"/>
                <w:sz w:val="16"/>
                <w:szCs w:val="16"/>
              </w:rPr>
            </w:r>
          </w:p>
        </w:tc>
        <w:tc>
          <w:tcPr>
            <w:tcW w:w="1104" w:type="dxa"/>
            <w:gridSpan w:val="2"/>
            <w:tcBorders>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OPEX</m:t>
                      </m:r>
                    </m:e>
                    <m:sub>
                      <m:r>
                        <w:rPr>
                          <w:rFonts w:ascii="Cambria Math" w:hAnsi="Cambria Math"/>
                        </w:rPr>
                        <m:t xml:space="preserve">i</m:t>
                      </m:r>
                    </m:sub>
                  </m:sSub>
                </m:e>
              </m:nary>
            </m:oMath>
            <w:r>
              <w:rPr>
                <w:rFonts w:cs="Times New Roman" w:ascii="Times New Roman" w:hAnsi="Times New Roman"/>
                <w:sz w:val="16"/>
                <w:szCs w:val="16"/>
              </w:rPr>
              <w:t xml:space="preserve"> </w:t>
            </w:r>
          </w:p>
        </w:tc>
        <w:tc>
          <w:tcPr>
            <w:tcW w:w="4156" w:type="dxa"/>
            <w:tcBorders>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operacionais projetados</w:t>
            </w:r>
          </w:p>
        </w:tc>
        <w:tc>
          <w:tcPr>
            <w:tcW w:w="1260" w:type="dxa"/>
            <w:tcBorders>
              <w:left w:val="single" w:sz="8" w:space="0" w:color="000000"/>
              <w:bottom w:val="single"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1.423.795.350,73 </w:t>
            </w:r>
          </w:p>
        </w:tc>
        <w:tc>
          <w:tcPr>
            <w:tcW w:w="740" w:type="dxa"/>
            <w:tcBorders>
              <w:bottom w:val="single"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82,18%</w:t>
            </w:r>
          </w:p>
        </w:tc>
      </w:tr>
      <w:tr>
        <w:trPr>
          <w:trHeight w:val="227" w:hRule="exact"/>
        </w:trPr>
        <w:tc>
          <w:tcPr>
            <w:tcW w:w="1035" w:type="dxa"/>
            <w:tcBorders/>
          </w:tcPr>
          <w:p>
            <w:pPr>
              <w:pStyle w:val="AaaaaaaRapido"/>
              <w:spacing w:lineRule="auto" w:line="240" w:before="0" w:after="0"/>
              <w:ind w:hanging="0"/>
              <w:jc w:val="center"/>
              <w:rPr>
                <w:color w:val="auto"/>
                <w:sz w:val="16"/>
                <w:szCs w:val="16"/>
              </w:rPr>
            </w:pPr>
            <w:r>
              <w:rPr>
                <w:color w:val="auto"/>
                <w:sz w:val="16"/>
                <w:szCs w:val="16"/>
              </w:rPr>
              <w:t>01</w:t>
            </w:r>
          </w:p>
        </w:tc>
        <w:tc>
          <w:tcPr>
            <w:tcW w:w="205" w:type="dxa"/>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PES</m:t>
                      </m:r>
                    </m:e>
                    <m:sub>
                      <m:r>
                        <w:rPr>
                          <w:rFonts w:ascii="Cambria Math" w:hAnsi="Cambria Math"/>
                        </w:rPr>
                        <m:t xml:space="preserve">i</m:t>
                      </m:r>
                    </m:sub>
                  </m:sSub>
                </m:e>
              </m:nary>
            </m:oMath>
            <w:r>
              <w:rPr>
                <w:color w:val="auto"/>
                <w:sz w:val="16"/>
                <w:szCs w:val="16"/>
              </w:rPr>
              <w:t xml:space="preserve"> </w:t>
            </w:r>
          </w:p>
        </w:tc>
        <w:tc>
          <w:tcPr>
            <w:tcW w:w="4156" w:type="dxa"/>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projetados com pessoal</w:t>
            </w:r>
          </w:p>
        </w:tc>
        <w:tc>
          <w:tcPr>
            <w:tcW w:w="1260" w:type="dxa"/>
            <w:tcBorders>
              <w:left w:val="single" w:sz="8"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627.272.183,69 </w:t>
            </w:r>
          </w:p>
        </w:tc>
        <w:tc>
          <w:tcPr>
            <w:tcW w:w="740" w:type="dxa"/>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36,21%</w:t>
            </w:r>
          </w:p>
        </w:tc>
      </w:tr>
      <w:tr>
        <w:trPr>
          <w:trHeight w:val="227" w:hRule="exact"/>
        </w:trPr>
        <w:tc>
          <w:tcPr>
            <w:tcW w:w="1035" w:type="dxa"/>
            <w:tcBorders>
              <w:top w:val="dotted" w:sz="4" w:space="0" w:color="000000"/>
            </w:tcBorders>
          </w:tcPr>
          <w:p>
            <w:pPr>
              <w:pStyle w:val="AaaaaaaRapido"/>
              <w:spacing w:lineRule="auto" w:line="240" w:before="0" w:after="0"/>
              <w:ind w:hanging="0"/>
              <w:jc w:val="center"/>
              <w:rPr>
                <w:color w:val="auto"/>
                <w:sz w:val="16"/>
                <w:szCs w:val="16"/>
              </w:rPr>
            </w:pPr>
            <w:r>
              <w:rPr>
                <w:color w:val="auto"/>
                <w:sz w:val="16"/>
                <w:szCs w:val="16"/>
              </w:rPr>
              <w:t>02</w:t>
            </w:r>
          </w:p>
        </w:tc>
        <w:tc>
          <w:tcPr>
            <w:tcW w:w="205" w:type="dxa"/>
            <w:tcBorders>
              <w:top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MAT</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projetados com materiais</w:t>
            </w:r>
          </w:p>
        </w:tc>
        <w:tc>
          <w:tcPr>
            <w:tcW w:w="1260" w:type="dxa"/>
            <w:tcBorders>
              <w:top w:val="dotted" w:sz="4" w:space="0" w:color="000000"/>
              <w:left w:val="single" w:sz="8"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58.106.821,82 </w:t>
            </w:r>
          </w:p>
        </w:tc>
        <w:tc>
          <w:tcPr>
            <w:tcW w:w="740" w:type="dxa"/>
            <w:tcBorders>
              <w:top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3,35%</w:t>
            </w:r>
          </w:p>
        </w:tc>
      </w:tr>
      <w:tr>
        <w:trPr>
          <w:trHeight w:val="227" w:hRule="exact"/>
        </w:trPr>
        <w:tc>
          <w:tcPr>
            <w:tcW w:w="1035" w:type="dxa"/>
            <w:tcBorders>
              <w:top w:val="dotted" w:sz="4" w:space="0" w:color="000000"/>
            </w:tcBorders>
          </w:tcPr>
          <w:p>
            <w:pPr>
              <w:pStyle w:val="AaaaaaaRapido"/>
              <w:spacing w:lineRule="auto" w:line="240" w:before="0" w:after="0"/>
              <w:ind w:hanging="0"/>
              <w:jc w:val="center"/>
              <w:rPr>
                <w:color w:val="auto"/>
                <w:sz w:val="16"/>
                <w:szCs w:val="16"/>
              </w:rPr>
            </w:pPr>
            <w:r>
              <w:rPr>
                <w:color w:val="auto"/>
                <w:sz w:val="16"/>
                <w:szCs w:val="16"/>
              </w:rPr>
              <w:t>03</w:t>
            </w:r>
          </w:p>
        </w:tc>
        <w:tc>
          <w:tcPr>
            <w:tcW w:w="205" w:type="dxa"/>
            <w:tcBorders>
              <w:top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DEE</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projetados com energia elétrica</w:t>
            </w:r>
          </w:p>
        </w:tc>
        <w:tc>
          <w:tcPr>
            <w:tcW w:w="1260" w:type="dxa"/>
            <w:tcBorders>
              <w:top w:val="dotted" w:sz="4" w:space="0" w:color="000000"/>
              <w:left w:val="single" w:sz="8"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206.941.807,38 </w:t>
            </w:r>
          </w:p>
        </w:tc>
        <w:tc>
          <w:tcPr>
            <w:tcW w:w="740" w:type="dxa"/>
            <w:tcBorders>
              <w:top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11,94%</w:t>
            </w:r>
          </w:p>
        </w:tc>
      </w:tr>
      <w:tr>
        <w:trPr>
          <w:trHeight w:val="227" w:hRule="exact"/>
        </w:trPr>
        <w:tc>
          <w:tcPr>
            <w:tcW w:w="1035" w:type="dxa"/>
            <w:tcBorders>
              <w:top w:val="dotted" w:sz="4" w:space="0" w:color="000000"/>
              <w:bottom w:val="dotted" w:sz="4" w:space="0" w:color="000000"/>
            </w:tcBorders>
          </w:tcPr>
          <w:p>
            <w:pPr>
              <w:pStyle w:val="AaaaaaaRapido"/>
              <w:spacing w:lineRule="auto" w:line="240" w:before="0" w:after="0"/>
              <w:ind w:hanging="0"/>
              <w:jc w:val="center"/>
              <w:rPr>
                <w:color w:val="auto"/>
                <w:sz w:val="16"/>
                <w:szCs w:val="16"/>
              </w:rPr>
            </w:pPr>
            <w:r>
              <w:rPr>
                <w:color w:val="auto"/>
                <w:sz w:val="16"/>
                <w:szCs w:val="16"/>
              </w:rPr>
              <w:t>04</w:t>
            </w:r>
          </w:p>
        </w:tc>
        <w:tc>
          <w:tcPr>
            <w:tcW w:w="205" w:type="dxa"/>
            <w:tcBorders>
              <w:top w:val="dotted" w:sz="4" w:space="0" w:color="000000"/>
              <w:bottom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bottom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OST</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bottom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projetados com outros serviços de terceiros</w:t>
            </w:r>
          </w:p>
        </w:tc>
        <w:tc>
          <w:tcPr>
            <w:tcW w:w="1260" w:type="dxa"/>
            <w:tcBorders>
              <w:top w:val="dotted" w:sz="4" w:space="0" w:color="000000"/>
              <w:left w:val="single" w:sz="8" w:space="0" w:color="000000"/>
              <w:bottom w:val="dotted"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307.886.969,12 </w:t>
            </w:r>
          </w:p>
        </w:tc>
        <w:tc>
          <w:tcPr>
            <w:tcW w:w="740" w:type="dxa"/>
            <w:tcBorders>
              <w:top w:val="dotted" w:sz="4" w:space="0" w:color="000000"/>
              <w:bottom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17,77%</w:t>
            </w:r>
          </w:p>
        </w:tc>
      </w:tr>
      <w:tr>
        <w:trPr>
          <w:trHeight w:val="227" w:hRule="exact"/>
        </w:trPr>
        <w:tc>
          <w:tcPr>
            <w:tcW w:w="1035" w:type="dxa"/>
            <w:tcBorders>
              <w:top w:val="dotted" w:sz="4" w:space="0" w:color="000000"/>
              <w:bottom w:val="dotted" w:sz="4" w:space="0" w:color="000000"/>
            </w:tcBorders>
          </w:tcPr>
          <w:p>
            <w:pPr>
              <w:pStyle w:val="AaaaaaaRapido"/>
              <w:spacing w:lineRule="auto" w:line="240" w:before="0" w:after="0"/>
              <w:ind w:hanging="0"/>
              <w:jc w:val="center"/>
              <w:rPr>
                <w:color w:val="auto"/>
                <w:sz w:val="16"/>
                <w:szCs w:val="16"/>
              </w:rPr>
            </w:pPr>
            <w:r>
              <w:rPr>
                <w:color w:val="auto"/>
                <w:sz w:val="16"/>
                <w:szCs w:val="16"/>
              </w:rPr>
              <w:t>05</w:t>
            </w:r>
          </w:p>
        </w:tc>
        <w:tc>
          <w:tcPr>
            <w:tcW w:w="205" w:type="dxa"/>
            <w:tcBorders>
              <w:top w:val="dotted" w:sz="4" w:space="0" w:color="000000"/>
              <w:bottom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bottom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DGE</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bottom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gerais projetados</w:t>
            </w:r>
          </w:p>
        </w:tc>
        <w:tc>
          <w:tcPr>
            <w:tcW w:w="1260" w:type="dxa"/>
            <w:tcBorders>
              <w:top w:val="dotted" w:sz="4" w:space="0" w:color="000000"/>
              <w:left w:val="single" w:sz="8" w:space="0" w:color="000000"/>
              <w:bottom w:val="dotted"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28.282.491,06 </w:t>
            </w:r>
          </w:p>
        </w:tc>
        <w:tc>
          <w:tcPr>
            <w:tcW w:w="740" w:type="dxa"/>
            <w:tcBorders>
              <w:top w:val="dotted" w:sz="4" w:space="0" w:color="000000"/>
              <w:bottom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1,63%</w:t>
            </w:r>
          </w:p>
        </w:tc>
      </w:tr>
      <w:tr>
        <w:trPr>
          <w:trHeight w:val="227" w:hRule="exact"/>
        </w:trPr>
        <w:tc>
          <w:tcPr>
            <w:tcW w:w="1035" w:type="dxa"/>
            <w:tcBorders>
              <w:top w:val="dotted" w:sz="4" w:space="0" w:color="000000"/>
            </w:tcBorders>
          </w:tcPr>
          <w:p>
            <w:pPr>
              <w:pStyle w:val="AaaaaaaRapido"/>
              <w:spacing w:lineRule="auto" w:line="240" w:before="0" w:after="0"/>
              <w:ind w:hanging="0"/>
              <w:jc w:val="center"/>
              <w:rPr>
                <w:color w:val="auto"/>
                <w:sz w:val="16"/>
                <w:szCs w:val="16"/>
              </w:rPr>
            </w:pPr>
            <w:r>
              <w:rPr>
                <w:color w:val="auto"/>
                <w:sz w:val="16"/>
                <w:szCs w:val="16"/>
              </w:rPr>
              <w:t>06</w:t>
            </w:r>
          </w:p>
        </w:tc>
        <w:tc>
          <w:tcPr>
            <w:tcW w:w="205" w:type="dxa"/>
            <w:tcBorders>
              <w:top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ITC</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projetadas com impostos, taxas e contribuições</w:t>
            </w:r>
          </w:p>
        </w:tc>
        <w:tc>
          <w:tcPr>
            <w:tcW w:w="1260" w:type="dxa"/>
            <w:tcBorders>
              <w:top w:val="dotted" w:sz="4" w:space="0" w:color="000000"/>
              <w:left w:val="single" w:sz="8"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195.305.077,65 </w:t>
            </w:r>
          </w:p>
        </w:tc>
        <w:tc>
          <w:tcPr>
            <w:tcW w:w="740" w:type="dxa"/>
            <w:tcBorders>
              <w:top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11,27%</w:t>
            </w:r>
          </w:p>
        </w:tc>
      </w:tr>
      <w:tr>
        <w:trPr>
          <w:trHeight w:val="227" w:hRule="exact"/>
        </w:trPr>
        <w:tc>
          <w:tcPr>
            <w:tcW w:w="1035"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07</w:t>
            </w:r>
          </w:p>
        </w:tc>
        <w:tc>
          <w:tcPr>
            <w:tcW w:w="1104" w:type="dxa"/>
            <w:gridSpan w:val="2"/>
            <w:tcBorders>
              <w:top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PRI</m:t>
                      </m:r>
                    </m:e>
                    <m:sub>
                      <m:r>
                        <w:rPr>
                          <w:rFonts w:ascii="Cambria Math" w:hAnsi="Cambria Math"/>
                        </w:rPr>
                        <m:t xml:space="preserve">i</m:t>
                      </m:r>
                    </m:sub>
                  </m:sSub>
                </m:e>
              </m:nary>
            </m:oMath>
            <w:r>
              <w:rPr>
                <w:rFonts w:cs="Times New Roman" w:ascii="Times New Roman" w:hAnsi="Times New Roman"/>
                <w:sz w:val="16"/>
                <w:szCs w:val="16"/>
              </w:rPr>
              <w:t xml:space="preserve"> </w:t>
            </w:r>
          </w:p>
        </w:tc>
        <w:tc>
          <w:tcPr>
            <w:tcW w:w="4156" w:type="dxa"/>
            <w:tcBorders>
              <w:top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Perdas com receitas irrecuperáveis projetadas</w:t>
            </w:r>
          </w:p>
        </w:tc>
        <w:tc>
          <w:tcPr>
            <w:tcW w:w="1260"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83.921.408,04 </w:t>
            </w:r>
          </w:p>
        </w:tc>
        <w:tc>
          <w:tcPr>
            <w:tcW w:w="740" w:type="dxa"/>
            <w:tcBorders>
              <w:top w:val="single" w:sz="4" w:space="0" w:color="000000"/>
              <w:bottom w:val="single"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4,84%</w:t>
            </w:r>
          </w:p>
        </w:tc>
      </w:tr>
      <w:tr>
        <w:trPr>
          <w:trHeight w:val="227" w:hRule="exact"/>
        </w:trPr>
        <w:tc>
          <w:tcPr>
            <w:tcW w:w="1035" w:type="dxa"/>
            <w:tcBorders>
              <w:bottom w:val="single" w:sz="4" w:space="0" w:color="000000"/>
            </w:tcBorders>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104" w:type="dxa"/>
            <w:gridSpan w:val="2"/>
            <w:tcBorders>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CAPEX</m:t>
                      </m:r>
                    </m:e>
                    <m:sub>
                      <m:r>
                        <w:rPr>
                          <w:rFonts w:ascii="Cambria Math" w:hAnsi="Cambria Math"/>
                        </w:rPr>
                        <m:t xml:space="preserve">i</m:t>
                      </m:r>
                    </m:sub>
                  </m:sSub>
                </m:e>
              </m:nary>
            </m:oMath>
            <w:r>
              <w:rPr>
                <w:rFonts w:cs="Times New Roman" w:ascii="Times New Roman" w:hAnsi="Times New Roman"/>
                <w:sz w:val="16"/>
                <w:szCs w:val="16"/>
              </w:rPr>
              <w:t xml:space="preserve"> </w:t>
            </w:r>
          </w:p>
        </w:tc>
        <w:tc>
          <w:tcPr>
            <w:tcW w:w="4156" w:type="dxa"/>
            <w:tcBorders>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de capital projetados</w:t>
            </w:r>
          </w:p>
        </w:tc>
        <w:tc>
          <w:tcPr>
            <w:tcW w:w="1260" w:type="dxa"/>
            <w:tcBorders>
              <w:left w:val="single" w:sz="8" w:space="0" w:color="000000"/>
              <w:bottom w:val="single"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224.774.792,98 </w:t>
            </w:r>
          </w:p>
        </w:tc>
        <w:tc>
          <w:tcPr>
            <w:tcW w:w="740" w:type="dxa"/>
            <w:tcBorders>
              <w:bottom w:val="single"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12,97%</w:t>
            </w:r>
          </w:p>
        </w:tc>
      </w:tr>
      <w:tr>
        <w:trPr>
          <w:trHeight w:val="227" w:hRule="exact"/>
        </w:trPr>
        <w:tc>
          <w:tcPr>
            <w:tcW w:w="1035" w:type="dxa"/>
            <w:tcBorders>
              <w:bottom w:val="dotted" w:sz="4" w:space="0" w:color="000000"/>
            </w:tcBorders>
          </w:tcPr>
          <w:p>
            <w:pPr>
              <w:pStyle w:val="AaaaaaaRapido"/>
              <w:spacing w:lineRule="auto" w:line="240" w:before="0" w:after="0"/>
              <w:ind w:hanging="0"/>
              <w:jc w:val="center"/>
              <w:rPr>
                <w:color w:val="auto"/>
                <w:sz w:val="16"/>
                <w:szCs w:val="16"/>
              </w:rPr>
            </w:pPr>
            <w:r>
              <w:rPr>
                <w:color w:val="auto"/>
                <w:sz w:val="16"/>
                <w:szCs w:val="16"/>
              </w:rPr>
              <w:t>08</w:t>
            </w:r>
          </w:p>
        </w:tc>
        <w:tc>
          <w:tcPr>
            <w:tcW w:w="205" w:type="dxa"/>
            <w:tcBorders>
              <w:bottom w:val="dotted"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bottom w:val="dotted"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DDA</m:t>
                      </m:r>
                    </m:e>
                    <m:sub>
                      <m:r>
                        <w:rPr>
                          <w:rFonts w:ascii="Cambria Math" w:hAnsi="Cambria Math"/>
                        </w:rPr>
                        <m:t xml:space="preserve">i</m:t>
                      </m:r>
                    </m:sub>
                  </m:sSub>
                </m:e>
              </m:nary>
            </m:oMath>
            <w:r>
              <w:rPr>
                <w:color w:val="auto"/>
                <w:sz w:val="16"/>
                <w:szCs w:val="16"/>
              </w:rPr>
              <w:t xml:space="preserve"> </w:t>
            </w:r>
          </w:p>
        </w:tc>
        <w:tc>
          <w:tcPr>
            <w:tcW w:w="4156" w:type="dxa"/>
            <w:tcBorders>
              <w:bottom w:val="dotted"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Despesas e custos projetados com depreciação e amortização</w:t>
            </w:r>
          </w:p>
        </w:tc>
        <w:tc>
          <w:tcPr>
            <w:tcW w:w="1260" w:type="dxa"/>
            <w:tcBorders>
              <w:left w:val="single" w:sz="8" w:space="0" w:color="000000"/>
              <w:bottom w:val="dotted"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132.064.176,03 </w:t>
            </w:r>
          </w:p>
        </w:tc>
        <w:tc>
          <w:tcPr>
            <w:tcW w:w="740" w:type="dxa"/>
            <w:tcBorders>
              <w:bottom w:val="dotted"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7,62%</w:t>
            </w:r>
          </w:p>
        </w:tc>
      </w:tr>
      <w:tr>
        <w:trPr>
          <w:trHeight w:val="227" w:hRule="exact"/>
        </w:trPr>
        <w:tc>
          <w:tcPr>
            <w:tcW w:w="1035" w:type="dxa"/>
            <w:tcBorders>
              <w:top w:val="dotted" w:sz="4" w:space="0" w:color="000000"/>
              <w:bottom w:val="single" w:sz="4" w:space="0" w:color="000000"/>
            </w:tcBorders>
          </w:tcPr>
          <w:p>
            <w:pPr>
              <w:pStyle w:val="AaaaaaaRapido"/>
              <w:spacing w:lineRule="auto" w:line="240" w:before="0" w:after="0"/>
              <w:ind w:hanging="0"/>
              <w:jc w:val="center"/>
              <w:rPr>
                <w:color w:val="auto"/>
                <w:sz w:val="16"/>
                <w:szCs w:val="16"/>
              </w:rPr>
            </w:pPr>
            <w:r>
              <w:rPr>
                <w:color w:val="auto"/>
                <w:sz w:val="16"/>
                <w:szCs w:val="16"/>
              </w:rPr>
              <w:t>09</w:t>
            </w:r>
          </w:p>
        </w:tc>
        <w:tc>
          <w:tcPr>
            <w:tcW w:w="205" w:type="dxa"/>
            <w:tcBorders>
              <w:top w:val="dotted" w:sz="4" w:space="0" w:color="000000"/>
              <w:bottom w:val="single" w:sz="4" w:space="0" w:color="000000"/>
            </w:tcBorders>
            <w:shd w:color="auto" w:fill="auto" w:val="clear"/>
            <w:vAlign w:val="center"/>
          </w:tcPr>
          <w:p>
            <w:pPr>
              <w:pStyle w:val="AaaaaaaRapido"/>
              <w:spacing w:lineRule="auto" w:line="240" w:before="0" w:after="0"/>
              <w:ind w:hanging="0"/>
              <w:rPr>
                <w:color w:val="auto"/>
                <w:sz w:val="16"/>
                <w:szCs w:val="16"/>
              </w:rPr>
            </w:pPr>
            <w:r>
              <w:rPr>
                <w:color w:val="auto"/>
                <w:sz w:val="16"/>
                <w:szCs w:val="16"/>
              </w:rPr>
            </w:r>
          </w:p>
        </w:tc>
        <w:tc>
          <w:tcPr>
            <w:tcW w:w="899" w:type="dxa"/>
            <w:tcBorders>
              <w:top w:val="dotted" w:sz="4" w:space="0" w:color="000000"/>
              <w:bottom w:val="single" w:sz="4" w:space="0" w:color="000000"/>
            </w:tcBorders>
            <w:vAlign w:val="center"/>
          </w:tcPr>
          <w:p>
            <w:pPr>
              <w:pStyle w:val="AaaaaaaRapido"/>
              <w:spacing w:lineRule="auto" w:line="240" w:before="0" w:after="0"/>
              <w:ind w:hanging="0"/>
              <w:rPr>
                <w:color w:val="auto"/>
                <w:sz w:val="16"/>
                <w:szCs w:val="16"/>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RIR</m:t>
                      </m:r>
                    </m:e>
                    <m:sub>
                      <m:r>
                        <w:rPr>
                          <w:rFonts w:ascii="Cambria Math" w:hAnsi="Cambria Math"/>
                        </w:rPr>
                        <m:t xml:space="preserve">i</m:t>
                      </m:r>
                    </m:sub>
                  </m:sSub>
                </m:e>
              </m:nary>
            </m:oMath>
            <w:r>
              <w:rPr>
                <w:color w:val="auto"/>
                <w:sz w:val="16"/>
                <w:szCs w:val="16"/>
              </w:rPr>
              <w:t xml:space="preserve"> </w:t>
            </w:r>
          </w:p>
        </w:tc>
        <w:tc>
          <w:tcPr>
            <w:tcW w:w="4156" w:type="dxa"/>
            <w:tcBorders>
              <w:top w:val="dotted" w:sz="4" w:space="0" w:color="000000"/>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6"/>
                <w:szCs w:val="16"/>
                <w:lang w:eastAsia="pt-BR"/>
              </w:rPr>
            </w:pPr>
            <w:r>
              <w:rPr>
                <w:rFonts w:eastAsia="Times New Roman" w:cs="Times New Roman" w:ascii="Times New Roman" w:hAnsi="Times New Roman"/>
                <w:sz w:val="16"/>
                <w:szCs w:val="16"/>
                <w:lang w:eastAsia="pt-BR"/>
              </w:rPr>
              <w:t>Remuneração projetada do investimento reconhecido</w:t>
            </w:r>
          </w:p>
        </w:tc>
        <w:tc>
          <w:tcPr>
            <w:tcW w:w="1260" w:type="dxa"/>
            <w:tcBorders>
              <w:top w:val="dotted" w:sz="4" w:space="0" w:color="000000"/>
              <w:left w:val="single" w:sz="8" w:space="0" w:color="000000"/>
              <w:bottom w:val="single" w:sz="4" w:space="0" w:color="000000"/>
              <w:right w:val="single" w:sz="8"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 xml:space="preserve">92.710.616,95 </w:t>
            </w:r>
          </w:p>
        </w:tc>
        <w:tc>
          <w:tcPr>
            <w:tcW w:w="740" w:type="dxa"/>
            <w:tcBorders>
              <w:top w:val="dotted" w:sz="4" w:space="0" w:color="000000"/>
              <w:bottom w:val="single" w:sz="4" w:space="0" w:color="000000"/>
            </w:tcBorders>
            <w:shd w:color="auto" w:fill="auto" w:val="clear"/>
            <w:vAlign w:val="center"/>
          </w:tcPr>
          <w:p>
            <w:pPr>
              <w:pStyle w:val="Normal"/>
              <w:spacing w:before="0" w:after="200"/>
              <w:jc w:val="right"/>
              <w:rPr>
                <w:rFonts w:ascii="Times New Roman" w:hAnsi="Times New Roman" w:cs="Times New Roman"/>
                <w:sz w:val="16"/>
                <w:szCs w:val="16"/>
              </w:rPr>
            </w:pPr>
            <w:r>
              <w:rPr>
                <w:rFonts w:cs="Times New Roman" w:ascii="Times New Roman" w:hAnsi="Times New Roman"/>
                <w:sz w:val="16"/>
                <w:szCs w:val="16"/>
              </w:rPr>
              <w:t>5,35%</w:t>
            </w:r>
          </w:p>
        </w:tc>
      </w:tr>
    </w:tbl>
    <w:p>
      <w:pPr>
        <w:pStyle w:val="AaaaaaaRapido"/>
        <w:spacing w:before="0" w:after="0"/>
        <w:ind w:firstLine="709"/>
        <w:rPr>
          <w:color w:val="auto"/>
        </w:rPr>
      </w:pPr>
      <w:r>
        <w:rPr>
          <w:color w:val="auto"/>
        </w:rPr>
      </w:r>
    </w:p>
    <w:p>
      <w:pPr>
        <w:pStyle w:val="AaaaaaaRapido"/>
        <w:spacing w:before="0" w:after="0"/>
        <w:ind w:firstLine="709"/>
        <w:rPr>
          <w:color w:val="auto"/>
        </w:rPr>
      </w:pPr>
      <w:r>
        <w:rPr>
          <w:color w:val="auto"/>
        </w:rPr>
        <w:t xml:space="preserve">No modelo de revisão tarifária, definido na Nota Técnica 001/2018 – ARSBAN, a Receita necessária projetada corresponde aos valores faturados via cobrança de tarifas e que deverão cobrir todos os componentes tarifários. A Tabela 1 mostra que, na composição tarifária do 4º ciclo tarifário, 82,18% dos gastos correspondem aos </w:t>
      </w:r>
      <w:r>
        <w:rPr>
          <w:i/>
          <w:color w:val="auto"/>
        </w:rPr>
        <w:t>OPEX</w:t>
      </w:r>
      <w:r>
        <w:rPr>
          <w:color w:val="auto"/>
        </w:rPr>
        <w:t xml:space="preserve">, 4,84% às perdas com receitas irrecuperáveis e 12,97% aos </w:t>
      </w:r>
      <w:r>
        <w:rPr>
          <w:i/>
          <w:color w:val="auto"/>
        </w:rPr>
        <w:t>CAPEX</w:t>
      </w:r>
      <w:r>
        <w:rPr>
          <w:color w:val="auto"/>
        </w:rPr>
        <w:t>, distribuídos em, pelo menos, nove componentes tarifários.</w:t>
      </w:r>
    </w:p>
    <w:p>
      <w:pPr>
        <w:pStyle w:val="AaaaaaaRapido"/>
        <w:spacing w:before="0" w:after="0"/>
        <w:ind w:firstLine="709"/>
        <w:rPr>
          <w:color w:val="auto"/>
        </w:rPr>
      </w:pPr>
      <w:r>
        <w:rPr>
          <w:color w:val="auto"/>
        </w:rPr>
        <w:t>Dessa forma, o reajuste tarifário também deverá cobrir todos componentes tarifários da forma mais justa possível, ou seja, a inclusão limitada das despesas e custos com pessoal; materiais; energia; serviços de terceiros; e; outras despesas e custos no composto de índices (cesta), conforme estava sendo realizado nos últimos reajustes, não cobre todos os componentes tarifários e, consequentemente, deve ser ajustada para diminuir os riscos de injustiças tarifarias para consumidores ou concessionárias, principalmente no que e refere à contemplação da totalidade dos gastos formadores da tarifa, sensíveis aos processos inflacionários e deflacionários; indexadores aplicados; incentivos; e; reconhecimento regulatório empregado na cesta de índices.</w:t>
      </w:r>
    </w:p>
    <w:p>
      <w:pPr>
        <w:pStyle w:val="AaaaaaaRapido"/>
        <w:spacing w:before="0" w:after="0"/>
        <w:ind w:firstLine="709"/>
        <w:rPr>
          <w:color w:val="auto"/>
        </w:rPr>
      </w:pPr>
      <w:r>
        <w:rPr>
          <w:rFonts w:eastAsia="Times New Roman"/>
          <w:color w:val="auto"/>
          <w:lang w:eastAsia="pt-BR"/>
        </w:rPr>
        <w:t>Considerando</w:t>
      </w:r>
      <w:r>
        <w:rPr>
          <w:color w:val="auto"/>
        </w:rPr>
        <w:t xml:space="preserve"> a lógica do composto (cesta) de índices e tomando como exemplo os gastos com pessoal, o impacto inflacionário das despesas e custos com os servidores próprios na tarifa é ponderado, seguindo a proporção dos referidos gastos realizados na composição tarifária a partir da data estabelecida na resolução</w:t>
      </w:r>
      <w:r>
        <w:rPr>
          <w:rStyle w:val="Ncoradanotaderodap"/>
          <w:color w:val="auto"/>
        </w:rPr>
        <w:footnoteReference w:id="3"/>
      </w:r>
      <w:r>
        <w:rPr>
          <w:color w:val="auto"/>
        </w:rPr>
        <w:t xml:space="preserve"> (ou outro dispositivo instrutivo) de aprovação da alteração tarifária precedente até a data mais próxima possível do julgamento do pleito.</w:t>
      </w:r>
    </w:p>
    <w:p>
      <w:pPr>
        <w:pStyle w:val="AaaaaaaRapido"/>
        <w:spacing w:before="0" w:after="0"/>
        <w:ind w:firstLine="709"/>
        <w:rPr>
          <w:color w:val="auto"/>
        </w:rPr>
      </w:pPr>
      <w:r>
        <w:rPr>
          <w:color w:val="auto"/>
        </w:rPr>
        <w:t>Adicionalmente, a Resolução 001/2021 – ARSBAN determinou a atualização da Nota Técnica 001/2018 até uma data anterior ao final do 4º ciclo tarifário no escopo do sistema de regulação por incentivo (entre outros), especialmente no que diz respeito à implantação de fatores de eficiência e de qualidade dos serviços prestados, conforme prática em algumas agências reguladoras e necessidade de futuros acoplamentos das revisões com os reajustes.</w:t>
      </w:r>
    </w:p>
    <w:p>
      <w:pPr>
        <w:pStyle w:val="AaaaaaaRapido"/>
        <w:spacing w:before="0" w:after="0"/>
        <w:ind w:firstLine="709"/>
        <w:rPr>
          <w:color w:val="auto"/>
        </w:rPr>
      </w:pPr>
      <w:r>
        <w:rPr>
          <w:color w:val="auto"/>
        </w:rPr>
        <w:t xml:space="preserve">Sendo o reajuste tarifário </w:t>
      </w:r>
      <w:r>
        <w:rPr>
          <w:i/>
          <w:color w:val="auto"/>
        </w:rPr>
        <w:t>ex-post</w:t>
      </w:r>
      <w:r>
        <w:rPr>
          <w:color w:val="auto"/>
        </w:rPr>
        <w:t xml:space="preserve">, o Índice de Reajuste Tarifário – </w:t>
      </w:r>
      <w:r>
        <w:rPr>
          <w:i/>
          <w:color w:val="auto"/>
        </w:rPr>
        <w:t>IrT</w:t>
      </w:r>
      <w:r>
        <w:rPr>
          <w:color w:val="auto"/>
        </w:rPr>
        <w:t xml:space="preserve"> é calculado pela relação entre os somatórios valores dos componentes tarifários a preços dos insumos produtivos na data-base final </w:t>
      </w:r>
      <w:r>
        <w:rPr>
          <w:i/>
          <w:color w:val="auto"/>
        </w:rPr>
        <w:t>(P</w:t>
      </w:r>
      <w:r>
        <w:rPr>
          <w:i/>
          <w:color w:val="auto"/>
          <w:vertAlign w:val="subscript"/>
        </w:rPr>
        <w:t>1</w:t>
      </w:r>
      <w:r>
        <w:rPr>
          <w:i/>
          <w:color w:val="auto"/>
        </w:rPr>
        <w:t>)</w:t>
      </w:r>
      <w:r>
        <w:rPr>
          <w:color w:val="auto"/>
        </w:rPr>
        <w:t xml:space="preserve"> e a preços dos insumos produtivos na data-base inicial do reajuste </w:t>
      </w:r>
      <w:r>
        <w:rPr>
          <w:i/>
          <w:color w:val="auto"/>
        </w:rPr>
        <w:t>(P</w:t>
      </w:r>
      <w:r>
        <w:rPr>
          <w:i/>
          <w:color w:val="auto"/>
          <w:vertAlign w:val="subscript"/>
        </w:rPr>
        <w:t>0</w:t>
      </w:r>
      <w:r>
        <w:rPr>
          <w:i/>
          <w:color w:val="auto"/>
        </w:rPr>
        <w:t>)</w:t>
      </w:r>
      <w:r>
        <w:rPr>
          <w:color w:val="auto"/>
        </w:rPr>
        <w:t>. A notação matemática 2 representa o cálculo do índice de alteração tarifária, proveniente de reajuste ajuste tarifário e regime de eficiência e ajustes diversos, se houver.</w:t>
      </w:r>
    </w:p>
    <w:tbl>
      <w:tblPr>
        <w:tblStyle w:val="Tabelacomgrade"/>
        <w:tblW w:w="8644" w:type="dxa"/>
        <w:jc w:val="left"/>
        <w:tblInd w:w="0" w:type="dxa"/>
        <w:tblCellMar>
          <w:top w:w="0" w:type="dxa"/>
          <w:left w:w="108" w:type="dxa"/>
          <w:bottom w:w="0" w:type="dxa"/>
          <w:right w:w="108" w:type="dxa"/>
        </w:tblCellMar>
        <w:tblLook w:firstRow="1" w:noVBand="1" w:lastRow="0" w:firstColumn="1" w:lastColumn="0" w:noHBand="0" w:val="04a0"/>
      </w:tblPr>
      <w:tblGrid>
        <w:gridCol w:w="7764"/>
        <w:gridCol w:w="879"/>
      </w:tblGrid>
      <w:tr>
        <w:trPr/>
        <w:tc>
          <w:tcPr>
            <w:tcW w:w="7764" w:type="dxa"/>
            <w:tcBorders>
              <w:top w:val="nil"/>
              <w:left w:val="nil"/>
              <w:bottom w:val="nil"/>
              <w:right w:val="nil"/>
            </w:tcBorders>
          </w:tcPr>
          <w:p>
            <w:pPr>
              <w:pStyle w:val="AaaaaaaRapido"/>
              <w:spacing w:before="0" w:after="200"/>
              <w:jc w:val="center"/>
              <w:rPr>
                <w:color w:val="auto"/>
                <w:sz w:val="22"/>
                <w:szCs w:val="22"/>
              </w:rPr>
            </w:pPr>
            <w:r>
              <w:rPr/>
            </w:r>
            <m:oMath xmlns:m="http://schemas.openxmlformats.org/officeDocument/2006/math">
              <m:r>
                <w:rPr>
                  <w:rFonts w:ascii="Cambria Math" w:hAnsi="Cambria Math"/>
                </w:rPr>
                <m:t xml:space="preserve">IrT</m:t>
              </m:r>
              <m:r>
                <w:rPr>
                  <w:rFonts w:ascii="Cambria Math" w:hAnsi="Cambria Math"/>
                </w:rPr>
                <m:t xml:space="preserve">=</m:t>
              </m:r>
              <m:d>
                <m:dPr>
                  <m:begChr m:val="["/>
                  <m:endChr m:val="]"/>
                </m:dPr>
                <m:e>
                  <m:d>
                    <m:dPr>
                      <m:begChr m:val=""/>
                      <m:endChr m:val=""/>
                    </m:dPr>
                    <m:e>
                      <m:d>
                        <m:dPr>
                          <m:begChr m:val="("/>
                          <m:endChr m:val=")"/>
                        </m:dPr>
                        <m:e>
                          <m:r>
                            <w:rPr>
                              <w:rFonts w:ascii="Cambria Math" w:hAnsi="Cambria Math"/>
                            </w:rPr>
                            <m:t xml:space="preserve">RINDEX</m:t>
                          </m:r>
                          <m:r>
                            <w:rPr>
                              <w:rFonts w:ascii="Cambria Math" w:hAnsi="Cambria Math"/>
                            </w:rPr>
                            <m:t xml:space="preserve">±</m:t>
                          </m:r>
                          <m:r>
                            <w:rPr>
                              <w:rFonts w:ascii="Cambria Math" w:hAnsi="Cambria Math"/>
                            </w:rPr>
                            <m:t xml:space="preserve">Fx</m:t>
                          </m:r>
                          <m:r>
                            <w:rPr>
                              <w:rFonts w:ascii="Cambria Math" w:hAnsi="Cambria Math"/>
                            </w:rPr>
                            <m:t xml:space="preserve">±</m:t>
                          </m:r>
                          <m:r>
                            <w:rPr>
                              <w:rFonts w:ascii="Cambria Math" w:hAnsi="Cambria Math"/>
                            </w:rPr>
                            <m:t xml:space="preserve">Fk</m:t>
                          </m:r>
                          <m:r>
                            <w:rPr>
                              <w:rFonts w:ascii="Cambria Math" w:hAnsi="Cambria Math"/>
                            </w:rPr>
                            <m:t xml:space="preserve">±</m:t>
                          </m:r>
                          <m:r>
                            <w:rPr>
                              <w:rFonts w:ascii="Cambria Math" w:hAnsi="Cambria Math"/>
                            </w:rPr>
                            <m:t xml:space="preserve">AJ</m:t>
                          </m:r>
                        </m:e>
                      </m:d>
                    </m:e>
                  </m:d>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100</m:t>
              </m:r>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(2)</w:t>
            </w:r>
          </w:p>
        </w:tc>
      </w:tr>
      <w:tr>
        <w:trPr/>
        <w:tc>
          <w:tcPr>
            <w:tcW w:w="7764" w:type="dxa"/>
            <w:tcBorders>
              <w:top w:val="nil"/>
              <w:left w:val="nil"/>
              <w:bottom w:val="nil"/>
              <w:right w:val="nil"/>
            </w:tcBorders>
          </w:tcPr>
          <w:p>
            <w:pPr>
              <w:pStyle w:val="AaaaaaaRapido"/>
              <w:spacing w:before="0" w:after="200"/>
              <w:jc w:val="center"/>
              <w:rPr>
                <w:rFonts w:ascii="Calibri" w:hAnsi="Calibri"/>
                <w:color w:val="auto"/>
                <w:sz w:val="22"/>
                <w:szCs w:val="22"/>
              </w:rPr>
            </w:pPr>
            <w:r>
              <w:rPr/>
            </w:r>
            <m:oMath xmlns:m="http://schemas.openxmlformats.org/officeDocument/2006/math">
              <m:r>
                <w:rPr>
                  <w:rFonts w:ascii="Cambria Math" w:hAnsi="Cambria Math"/>
                </w:rPr>
                <m:t xml:space="preserve">RINDEX</m:t>
              </m:r>
              <m:r>
                <w:rPr>
                  <w:rFonts w:ascii="Cambria Math" w:hAnsi="Cambria Math"/>
                </w:rPr>
                <m:t xml:space="preserve">=</m:t>
              </m:r>
              <m:d>
                <m:dPr>
                  <m:begChr m:val="("/>
                  <m:endChr m:val=")"/>
                </m:dPr>
                <m:e>
                  <m:f>
                    <m:num>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num>
                    <m:den>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CAPEX</m:t>
                          </m:r>
                        </m:e>
                        <m:sub>
                          <m:r>
                            <w:rPr>
                              <w:rFonts w:ascii="Cambria Math" w:hAnsi="Cambria Math"/>
                            </w:rPr>
                            <m:t xml:space="preserve">P</m:t>
                          </m:r>
                          <m:r>
                            <w:rPr>
                              <w:rFonts w:ascii="Cambria Math" w:hAnsi="Cambria Math"/>
                            </w:rPr>
                            <m:t xml:space="preserve">0</m:t>
                          </m:r>
                        </m:sub>
                      </m:sSub>
                    </m:den>
                  </m:f>
                </m:e>
              </m:d>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(3)</w:t>
            </w:r>
          </w:p>
        </w:tc>
      </w:tr>
    </w:tbl>
    <w:p>
      <w:pPr>
        <w:pStyle w:val="AaaaaaaRapido"/>
        <w:spacing w:lineRule="auto" w:line="240" w:before="0" w:after="0"/>
        <w:ind w:firstLine="142"/>
        <w:rPr>
          <w:color w:val="auto"/>
        </w:rPr>
      </w:pPr>
      <w:r>
        <w:rPr>
          <w:color w:val="auto"/>
        </w:rPr>
        <w:t>Sendo:</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r>
          <w:rPr>
            <w:rFonts w:ascii="Cambria Math" w:hAnsi="Cambria Math"/>
          </w:rPr>
          <m:t xml:space="preserve">IrT</m:t>
        </m:r>
      </m:oMath>
      <w:r>
        <w:rPr>
          <w:color w:val="auto"/>
          <w:sz w:val="20"/>
          <w:szCs w:val="20"/>
        </w:rPr>
        <w:t>= Índice de reajuste tarifário (Índice de reposicionamento tarifário (%) resultante de reajuste tarifário em regime de eficiência, qualidade e ajustes diversos);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r>
          <w:rPr>
            <w:rFonts w:ascii="Cambria Math" w:hAnsi="Cambria Math"/>
          </w:rPr>
          <m:t xml:space="preserve">RINDEX</m:t>
        </m:r>
      </m:oMath>
      <w:r>
        <w:rPr>
          <w:color w:val="auto"/>
          <w:sz w:val="20"/>
          <w:szCs w:val="20"/>
        </w:rPr>
        <w:t xml:space="preserve">= Parcela do Índice de reajuste tarifário resultante da relação entre </w:t>
      </w:r>
      <w:r>
        <w:rPr/>
      </w:r>
      <m:oMath xmlns:m="http://schemas.openxmlformats.org/officeDocument/2006/math">
        <m:sSub>
          <m:e>
            <m:r>
              <w:rPr>
                <w:rFonts w:ascii="Cambria Math" w:hAnsi="Cambria Math"/>
              </w:rPr>
              <m:t xml:space="preserve">P</m:t>
            </m:r>
          </m:e>
          <m:sub>
            <m:r>
              <w:rPr>
                <w:rFonts w:ascii="Cambria Math" w:hAnsi="Cambria Math"/>
              </w:rPr>
              <m:t xml:space="preserve">1</m:t>
            </m:r>
          </m:sub>
        </m:sSub>
      </m:oMath>
      <w:r>
        <w:rPr>
          <w:color w:val="auto"/>
          <w:sz w:val="20"/>
          <w:szCs w:val="20"/>
        </w:rPr>
        <w:t xml:space="preserve">= total das despesas e custos realizados de </w:t>
      </w:r>
      <w:r>
        <w:rPr>
          <w:i/>
          <w:color w:val="auto"/>
          <w:sz w:val="20"/>
          <w:szCs w:val="20"/>
        </w:rPr>
        <w:t>1;..;n</w:t>
      </w:r>
      <w:r>
        <w:rPr>
          <w:color w:val="auto"/>
          <w:sz w:val="20"/>
          <w:szCs w:val="20"/>
        </w:rPr>
        <w:t xml:space="preserve"> a valores atualizados da data-base inicial até a data base-final e </w:t>
      </w:r>
      <w:r>
        <w:rPr/>
      </w:r>
      <m:oMath xmlns:m="http://schemas.openxmlformats.org/officeDocument/2006/math">
        <m:sSub>
          <m:e>
            <m:r>
              <w:rPr>
                <w:rFonts w:ascii="Cambria Math" w:hAnsi="Cambria Math"/>
              </w:rPr>
              <m:t xml:space="preserve">P</m:t>
            </m:r>
          </m:e>
          <m:sub>
            <m:r>
              <w:rPr>
                <w:rFonts w:ascii="Cambria Math" w:hAnsi="Cambria Math"/>
              </w:rPr>
              <m:t xml:space="preserve">0</m:t>
            </m:r>
          </m:sub>
        </m:sSub>
      </m:oMath>
      <w:r>
        <w:rPr>
          <w:color w:val="auto"/>
          <w:sz w:val="20"/>
          <w:szCs w:val="20"/>
        </w:rPr>
        <w:t xml:space="preserve">= total das despesas e custos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r>
          <w:rPr>
            <w:rFonts w:ascii="Cambria Math" w:hAnsi="Cambria Math"/>
          </w:rPr>
          <m:t xml:space="preserve">Fx</m:t>
        </m:r>
      </m:oMath>
      <w:r>
        <w:rPr>
          <w:color w:val="auto"/>
          <w:sz w:val="20"/>
          <w:szCs w:val="20"/>
        </w:rPr>
        <w:t>= Parcela do Índice de reajuste tarifário resultante do cálculo do fator de eficiência;</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r>
          <w:rPr>
            <w:rFonts w:ascii="Cambria Math" w:hAnsi="Cambria Math"/>
          </w:rPr>
          <m:t xml:space="preserve">Fk</m:t>
        </m:r>
      </m:oMath>
      <w:r>
        <w:rPr>
          <w:color w:val="auto"/>
          <w:sz w:val="20"/>
          <w:szCs w:val="20"/>
        </w:rPr>
        <w:t>= Parcela do Índice de reajuste resultante do cálculo do fator de qualidade;</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r>
          <w:rPr>
            <w:rFonts w:ascii="Cambria Math" w:hAnsi="Cambria Math"/>
          </w:rPr>
          <m:t xml:space="preserve">AJ</m:t>
        </m:r>
      </m:oMath>
      <w:r>
        <w:rPr>
          <w:color w:val="auto"/>
          <w:sz w:val="20"/>
          <w:szCs w:val="20"/>
        </w:rPr>
        <w:t>= parcela do Índice de reajuste resultante de ajustes diversos, por compensações, glosas justificadas, etc;</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oMath>
      <w:r>
        <w:rPr>
          <w:color w:val="auto"/>
          <w:sz w:val="20"/>
          <w:szCs w:val="20"/>
        </w:rPr>
        <w:t xml:space="preserve">= Despesas e custos operacionais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oMath>
      <w:r>
        <w:rPr>
          <w:color w:val="auto"/>
          <w:sz w:val="20"/>
          <w:szCs w:val="20"/>
        </w:rPr>
        <w:t xml:space="preserve">= Perdas com receitas irrecuperáveis calculadas de </w:t>
      </w:r>
      <w:r>
        <w:rPr>
          <w:i/>
          <w:color w:val="auto"/>
          <w:sz w:val="20"/>
          <w:szCs w:val="20"/>
        </w:rPr>
        <w:t>1;..;n</w:t>
      </w:r>
      <w:r>
        <w:rPr>
          <w:color w:val="auto"/>
          <w:sz w:val="20"/>
          <w:szCs w:val="20"/>
        </w:rPr>
        <w:t>, provenientes dos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oMath>
      <w:r>
        <w:rPr>
          <w:color w:val="auto"/>
          <w:sz w:val="20"/>
          <w:szCs w:val="20"/>
        </w:rPr>
        <w:t xml:space="preserve">= Despesas e custos de capital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oMath>
      <w:r>
        <w:rPr>
          <w:color w:val="auto"/>
          <w:sz w:val="20"/>
          <w:szCs w:val="20"/>
        </w:rPr>
        <w:t xml:space="preserve">= Despesas e custos operacionais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oMath>
      <w:r>
        <w:rPr>
          <w:color w:val="auto"/>
          <w:sz w:val="20"/>
          <w:szCs w:val="20"/>
        </w:rPr>
        <w:t xml:space="preserve">= Perdas com receitas irrecuperáveis calculadas de </w:t>
      </w:r>
      <w:r>
        <w:rPr>
          <w:i/>
          <w:color w:val="auto"/>
          <w:sz w:val="20"/>
          <w:szCs w:val="20"/>
        </w:rPr>
        <w:t>1;..;n</w:t>
      </w:r>
      <w:r>
        <w:rPr>
          <w:color w:val="auto"/>
          <w:sz w:val="20"/>
          <w:szCs w:val="20"/>
        </w:rPr>
        <w:t>, a partir dos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CAPEX</m:t>
            </m:r>
          </m:e>
          <m:sub>
            <m:r>
              <w:rPr>
                <w:rFonts w:ascii="Cambria Math" w:hAnsi="Cambria Math"/>
              </w:rPr>
              <m:t xml:space="preserve">Po</m:t>
            </m:r>
          </m:sub>
        </m:sSub>
      </m:oMath>
      <w:r>
        <w:rPr>
          <w:color w:val="auto"/>
          <w:sz w:val="20"/>
          <w:szCs w:val="20"/>
        </w:rPr>
        <w:t xml:space="preserve">= Despesas e custos de capital realizados de </w:t>
      </w:r>
      <w:r>
        <w:rPr>
          <w:i/>
          <w:color w:val="auto"/>
          <w:sz w:val="20"/>
          <w:szCs w:val="20"/>
        </w:rPr>
        <w:t>1;..;n</w:t>
      </w:r>
      <w:r>
        <w:rPr>
          <w:color w:val="auto"/>
          <w:sz w:val="20"/>
          <w:szCs w:val="20"/>
        </w:rPr>
        <w:t xml:space="preserve"> a valores históricos.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17" w:name="_Toc109911957"/>
      <w:bookmarkStart w:id="18" w:name="_Toc118711708"/>
      <w:r>
        <w:rPr/>
        <w:t>3.1 Despesas e custos operacionais (OPEX)</w:t>
      </w:r>
      <w:bookmarkEnd w:id="17"/>
      <w:bookmarkEnd w:id="18"/>
      <w:r>
        <w:rPr/>
        <w:t>ci</w:t>
      </w:r>
    </w:p>
    <w:p>
      <w:pPr>
        <w:pStyle w:val="Normal"/>
        <w:rPr>
          <w:rFonts w:ascii="Times New Roman" w:hAnsi="Times New Roman" w:cs="Times New Roman"/>
          <w:sz w:val="24"/>
          <w:szCs w:val="24"/>
          <w:lang w:eastAsia="pt-BR"/>
        </w:rPr>
      </w:pPr>
      <w:r>
        <w:rPr>
          <w:rFonts w:cs="Times New Roman" w:ascii="Times New Roman" w:hAnsi="Times New Roman"/>
          <w:sz w:val="24"/>
          <w:szCs w:val="24"/>
          <w:lang w:eastAsia="pt-BR"/>
        </w:rPr>
      </w:r>
    </w:p>
    <w:p>
      <w:pPr>
        <w:pStyle w:val="Normal"/>
        <w:tabs>
          <w:tab w:val="clear" w:pos="720"/>
          <w:tab w:val="left" w:pos="710" w:leader="none"/>
        </w:tabs>
        <w:spacing w:lineRule="auto" w:line="360" w:before="0" w:after="0"/>
        <w:ind w:firstLine="708"/>
        <w:jc w:val="both"/>
        <w:rPr/>
      </w:pPr>
      <w:r>
        <w:rPr>
          <w:rFonts w:cs="Times New Roman" w:ascii="Times New Roman" w:hAnsi="Times New Roman"/>
          <w:sz w:val="24"/>
          <w:szCs w:val="24"/>
          <w:lang w:eastAsia="pt-BR"/>
        </w:rPr>
        <w:t>São todas despesas e custos relacionados à prestação dos serviços de abastecimento de água e esgotamento sanitários, que não se configuram como perdas com receitas irrecuperáveis, nem despesas e custos de capital, neste caso, composta por: Despesas e custos com Pessoal; Despesas e custos com materiais; Despesas e custos com energia elétrica; Despesas e custos com outros serviços de terceiros; Despesas e custos gerais; e; Despesas com tributos (impostos, taxas e contribuições).</w:t>
      </w:r>
    </w:p>
    <w:p>
      <w:pPr>
        <w:pStyle w:val="AaaaaaaRapido"/>
        <w:spacing w:before="0" w:after="0"/>
        <w:rPr>
          <w:color w:val="auto"/>
        </w:rPr>
      </w:pPr>
      <w:r>
        <w:rPr>
          <w:color w:val="auto"/>
          <w:lang w:eastAsia="pt-BR"/>
        </w:rPr>
        <w:t xml:space="preserve">Conforme formulação matemática 3, as </w:t>
      </w:r>
      <w:r>
        <w:rPr>
          <w:i/>
          <w:color w:val="auto"/>
          <w:lang w:eastAsia="pt-BR"/>
        </w:rPr>
        <w:t>OPEX</w:t>
      </w:r>
      <w:r>
        <w:rPr>
          <w:color w:val="auto"/>
          <w:lang w:eastAsia="pt-BR"/>
        </w:rPr>
        <w:t xml:space="preserve"> serão calculadas </w:t>
      </w:r>
      <w:r>
        <w:rPr>
          <w:color w:val="auto"/>
        </w:rPr>
        <w:t>a valores atualizados da data-base inicial até a data base-final (</w:t>
      </w: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oMath>
      <w:r>
        <w:rPr>
          <w:color w:val="auto"/>
        </w:rPr>
        <w:t>) e a valores históricos realizados (</w:t>
      </w: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oMath>
      <w:r>
        <w:rPr>
          <w:color w:val="auto"/>
        </w:rPr>
        <w:t xml:space="preserve">). As notações 4 e 5 representam o cálculo das </w:t>
      </w:r>
      <w:r>
        <w:rPr>
          <w:i/>
          <w:color w:val="auto"/>
        </w:rPr>
        <w:t>OPEX</w:t>
      </w:r>
      <w:r>
        <w:rPr>
          <w:color w:val="auto"/>
        </w:rPr>
        <w:t>.</w:t>
      </w:r>
    </w:p>
    <w:p>
      <w:pPr>
        <w:pStyle w:val="Normal"/>
        <w:suppressAutoHyphens w:val="false"/>
        <w:spacing w:lineRule="auto" w:line="240" w:before="0" w:after="0"/>
        <w:rPr>
          <w:rFonts w:ascii="Times New Roman" w:hAnsi="Times New Roman" w:cs="Times New Roman"/>
          <w:sz w:val="24"/>
          <w:szCs w:val="24"/>
          <w:lang w:eastAsia="pt-BR"/>
        </w:rPr>
      </w:pPr>
      <w:r>
        <w:rPr>
          <w:rFonts w:cs="Times New Roman" w:ascii="Times New Roman" w:hAnsi="Times New Roman"/>
          <w:sz w:val="24"/>
          <w:szCs w:val="24"/>
          <w:lang w:eastAsia="pt-BR"/>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AaaaaaaRapido"/>
              <w:widowControl w:val="false"/>
              <w:spacing w:before="0" w:after="0"/>
              <w:jc w:val="center"/>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TPES</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TMAT</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TEE</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TOST</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TDGE</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TTRIB</m:t>
                  </m:r>
                </m:e>
                <m:sub>
                  <m:r>
                    <w:rPr>
                      <w:rFonts w:ascii="Cambria Math" w:hAnsi="Cambria Math"/>
                    </w:rPr>
                    <m:t xml:space="preserve">P</m:t>
                  </m:r>
                  <m:r>
                    <w:rPr>
                      <w:rFonts w:ascii="Cambria Math" w:hAnsi="Cambria Math"/>
                    </w:rPr>
                    <m:t xml:space="preserve">0</m:t>
                  </m:r>
                </m:sub>
              </m:sSub>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r>
      <w:tr>
        <w:trPr/>
        <w:tc>
          <w:tcPr>
            <w:tcW w:w="7764" w:type="dxa"/>
            <w:tcBorders/>
            <w:shd w:color="auto" w:fill="auto" w:val="clear"/>
          </w:tcPr>
          <w:p>
            <w:pPr>
              <w:pStyle w:val="AaaaaaaRapido"/>
              <w:widowControl w:val="false"/>
              <w:spacing w:before="0" w:after="0"/>
              <w:jc w:val="center"/>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TPES</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TMAT</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TEE</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TOST</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TDGE</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TTRIB</m:t>
                  </m:r>
                </m:e>
                <m:sub>
                  <m:r>
                    <w:rPr>
                      <w:rFonts w:ascii="Cambria Math" w:hAnsi="Cambria Math"/>
                    </w:rPr>
                    <m:t xml:space="preserve">P</m:t>
                  </m:r>
                  <m:r>
                    <w:rPr>
                      <w:rFonts w:ascii="Cambria Math" w:hAnsi="Cambria Math"/>
                    </w:rPr>
                    <m:t xml:space="preserve">1</m:t>
                  </m:r>
                </m:sub>
              </m:sSub>
            </m:oMath>
          </w:p>
        </w:tc>
        <w:tc>
          <w:tcPr>
            <w:tcW w:w="880" w:type="dxa"/>
            <w:tcBorders/>
            <w:shd w:color="auto" w:fill="auto" w:val="clea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r>
    </w:tbl>
    <w:p>
      <w:pPr>
        <w:pStyle w:val="AaaaaaaRapido"/>
        <w:spacing w:lineRule="auto" w:line="240" w:before="0" w:after="0"/>
        <w:ind w:firstLine="142"/>
        <w:rPr>
          <w:color w:val="auto"/>
        </w:rPr>
      </w:pPr>
      <w:r>
        <w:rPr>
          <w:color w:val="auto"/>
          <w:lang w:eastAsia="pt-BR"/>
        </w:rPr>
        <w:tab/>
      </w:r>
      <w:r>
        <w:rPr>
          <w:color w:val="auto"/>
        </w:rPr>
        <w:t>Sendo:</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operacionais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pessoal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materiais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energia elétrica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outros serviços de terceiros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gerais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com tributos (impostos, taxas e contribuições)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operacionais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pessoal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materiais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energia elétrica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outros serviços de terceiros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gerais realizados de </w:t>
      </w:r>
      <w:r>
        <w:rPr>
          <w:i/>
          <w:color w:val="auto"/>
          <w:sz w:val="20"/>
          <w:szCs w:val="20"/>
        </w:rPr>
        <w:t>1;..;n</w:t>
      </w:r>
      <w:r>
        <w:rPr>
          <w:color w:val="auto"/>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color w:val="auto"/>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com tributos (impostos, taxas e contribuições) de </w:t>
      </w:r>
      <w:r>
        <w:rPr>
          <w:i/>
          <w:color w:val="auto"/>
          <w:sz w:val="20"/>
          <w:szCs w:val="20"/>
        </w:rPr>
        <w:t>1;..;n</w:t>
      </w:r>
      <w:r>
        <w:rPr>
          <w:color w:val="auto"/>
          <w:sz w:val="20"/>
          <w:szCs w:val="20"/>
        </w:rPr>
        <w:t xml:space="preserve"> a valores atualizados da data-base inicial até a data base-final.</w:t>
      </w:r>
    </w:p>
    <w:p>
      <w:pPr>
        <w:pStyle w:val="Normal"/>
        <w:spacing w:lineRule="auto" w:line="240" w:before="0" w:after="0"/>
        <w:ind w:left="108" w:hanging="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19" w:name="_Toc118711709"/>
      <w:bookmarkStart w:id="20" w:name="_Toc109911958"/>
      <w:r>
        <w:rPr/>
        <w:t xml:space="preserve">3.1.1 </w:t>
      </w:r>
      <w:bookmarkStart w:id="21" w:name="OLE_LINK1"/>
      <w:r>
        <w:rPr/>
        <w:t>Despesas e custos com Pessoal</w:t>
      </w:r>
      <w:bookmarkEnd w:id="19"/>
      <w:bookmarkEnd w:id="20"/>
      <w:bookmarkEnd w:id="21"/>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Em relação às despesas e custos operacionais com Pessoal, a Nota Técnica 001/2018 – ARSBAN estabelece que sejam os gastos com: “</w:t>
      </w:r>
      <w:r>
        <w:rPr>
          <w:rFonts w:cs="Times New Roman" w:ascii="Times New Roman" w:hAnsi="Times New Roman"/>
          <w:i/>
          <w:sz w:val="24"/>
          <w:szCs w:val="24"/>
        </w:rPr>
        <w:t>Ordenados e Salários – Horas Normais; Ordenados e Salários – Horas Extras; Ajudas de Custo; Gratificações por Serviços ou Estudos no Exterior; Gratificações de Função e Cargos em Comissão; Férias e suas Gratificações; Abono de Férias; 13° Salário; Sobreaviso; Previdência Social; Programa de Incentivo à Educação; FGTS; Assistência Médica aos Empregados; Indenizações e Avisos Prévios; Assistência Social aos Empregados; Programa de Alimentação ao Trabalhador; Formação Profissional de Empregados; Previdência Privada; e Vale-transporte”</w:t>
      </w:r>
      <w:r>
        <w:rPr>
          <w:rFonts w:cs="Times New Roman" w:ascii="Times New Roman" w:hAnsi="Times New Roman"/>
          <w:sz w:val="24"/>
          <w:szCs w:val="24"/>
        </w:rPr>
        <w:t>.</w:t>
      </w:r>
    </w:p>
    <w:p>
      <w:pPr>
        <w:pStyle w:val="AaaaaaaRapido"/>
        <w:spacing w:before="0" w:after="0"/>
        <w:ind w:firstLine="709"/>
        <w:rPr>
          <w:color w:val="auto"/>
        </w:rPr>
      </w:pPr>
      <w:r>
        <w:rPr>
          <w:color w:val="auto"/>
        </w:rPr>
        <w:t>Contudo, a mesma nota técnica restringe o reconhecimento regulatório aos seguintes pressupostos: 1ª) Os referidos gastos sejam realizados com servidores que não estejam cedidos; 2ª) Gastos com Previdência privada e Gratificações ou prêmios por participação dos lucros e resultados somente se possibilitar a verificação e constatação de ganhos de produtividade em regime de eficiência pela agência; e 3ª) Os gastos com pessoal não sejam com servidores alocados em estruturas superdimensionadas e não produtivas (ociosas).</w:t>
      </w:r>
    </w:p>
    <w:p>
      <w:pPr>
        <w:pStyle w:val="AaaaaaaRapido"/>
        <w:rPr>
          <w:color w:val="auto"/>
        </w:rPr>
      </w:pPr>
      <w:r>
        <w:rPr>
          <w:color w:val="auto"/>
        </w:rPr>
        <w:t xml:space="preserve">Conforme arcabouço metodológico descrito no item 3.1, os valores de referência assumidos em </w:t>
      </w:r>
      <w:r>
        <w:rPr>
          <w:i/>
          <w:color w:val="auto"/>
        </w:rPr>
        <w:t>P</w:t>
      </w:r>
      <w:r>
        <w:rPr>
          <w:i/>
          <w:color w:val="auto"/>
          <w:vertAlign w:val="subscript"/>
        </w:rPr>
        <w:t>0</w:t>
      </w:r>
      <w:r>
        <w:rPr>
          <w:color w:val="auto"/>
        </w:rPr>
        <w:t xml:space="preserve"> para fins do reajuste tarifário serão os, efetivamente, realizados a contar da data base inicial. As formulações matemáticas 6 e 7 representam os métodos de cálculos dos valores de cada componente das despesas e custos com pessoal.</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r>
                <w:rPr>
                  <w:rFonts w:ascii="Cambria Math" w:hAnsi="Cambria Math"/>
                </w:rPr>
                <m:t xml:space="preserve">TPESn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PESn</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r>
                <w:rPr>
                  <w:rFonts w:ascii="Cambria Math" w:hAnsi="Cambria Math"/>
                </w:rPr>
                <m:t xml:space="preserve">TPESp</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PESp</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PESn</m:t>
        </m:r>
      </m:oMath>
      <w:r>
        <w:rPr>
          <w:rFonts w:cs="Times New Roman" w:ascii="Times New Roman" w:hAnsi="Times New Roman"/>
          <w:sz w:val="20"/>
          <w:szCs w:val="20"/>
        </w:rPr>
        <w:t xml:space="preserve">=Valor total realizado com gastos de pessoal, sem aferição de produtividade no intervalo de tempo de 1 até </w:t>
      </w:r>
      <w:r>
        <w:rPr>
          <w:rFonts w:cs="Times New Roman" w:ascii="Times New Roman" w:hAnsi="Times New Roman"/>
          <w:i/>
          <w:sz w:val="20"/>
          <w:szCs w:val="20"/>
        </w:rPr>
        <w:t>n</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PESp</m:t>
        </m:r>
      </m:oMath>
      <w:r>
        <w:rPr>
          <w:rFonts w:cs="Times New Roman" w:ascii="Times New Roman" w:hAnsi="Times New Roman"/>
          <w:sz w:val="20"/>
          <w:szCs w:val="20"/>
        </w:rPr>
        <w:t xml:space="preserve">= Valor total realizado com gastos de pessoal, com aferição de produtividade no intervalo de tempo de 1 até </w:t>
      </w:r>
      <w:r>
        <w:rPr>
          <w:rFonts w:cs="Times New Roman" w:ascii="Times New Roman" w:hAnsi="Times New Roman"/>
          <w:i/>
          <w:sz w:val="20"/>
          <w:szCs w:val="20"/>
        </w:rPr>
        <w:t>n</w:t>
      </w:r>
      <w:r>
        <w:rPr>
          <w:rFonts w:cs="Times New Roman" w:ascii="Times New Roman" w:hAnsi="Times New Roman"/>
          <w:sz w:val="20"/>
          <w:szCs w:val="20"/>
        </w:rPr>
        <w:t>. (caso não seja comprovada o ganho de produtividade o valor será 0)</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Cabe destacar que, nos acordos coletivos de trabalho observados para os servidores da CAERN, as datas-bases de aplicações das alterações salariais ocorrem entre os meses de maio e junho e sempre com base na variação do Índice Nacional de Preços ao Consumidor do IBGE - INPC</w:t>
      </w:r>
      <w:r>
        <w:rPr>
          <w:rStyle w:val="Ncoradanotaderodap"/>
        </w:rPr>
        <w:footnoteReference w:id="4"/>
      </w:r>
      <w:r>
        <w:rPr>
          <w:rFonts w:cs="Times New Roman" w:ascii="Times New Roman" w:hAnsi="Times New Roman"/>
          <w:sz w:val="24"/>
          <w:szCs w:val="24"/>
        </w:rPr>
        <w:t xml:space="preserve"> acumulado de um determinado intervalo de tempo anterior (geralmente 1 ano), seguindo esta mesma trajetória, os pleitos de reajustes tarifários, protocolados pela CAERN e aprovados nas resoluções 001/2015, 001/2016, 003/2016 e 001/2018 – ARSBAN, refletiram os percentuais acumulados do INPC, pactuados nos acordos coletivos do trabalho. No modelo proposto, o Índice de reajuste das despesas e custos com pessoal -</w:t>
      </w:r>
      <w:r>
        <w:rPr/>
      </w:r>
      <m:oMath xmlns:m="http://schemas.openxmlformats.org/officeDocument/2006/math">
        <m:r>
          <w:rPr>
            <w:rFonts w:ascii="Cambria Math" w:hAnsi="Cambria Math"/>
          </w:rPr>
          <m:t xml:space="preserve">PesIndex</m:t>
        </m:r>
      </m:oMath>
      <w:r>
        <w:rPr>
          <w:rFonts w:cs="Times New Roman" w:ascii="Times New Roman" w:hAnsi="Times New Roman"/>
          <w:sz w:val="24"/>
          <w:szCs w:val="24"/>
        </w:rPr>
        <w:t xml:space="preserve"> é o índice de referência para atualização inflacionária, sendo calculado, conforme notação matemática 8.</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ind w:firstLine="708"/>
              <w:jc w:val="center"/>
              <w:rPr>
                <w:sz w:val="24"/>
                <w:szCs w:val="24"/>
              </w:rPr>
            </w:pPr>
            <w:r>
              <w:rPr/>
            </w:r>
            <m:oMath xmlns:m="http://schemas.openxmlformats.org/officeDocument/2006/math">
              <m:r>
                <w:rPr>
                  <w:rFonts w:ascii="Cambria Math" w:hAnsi="Cambria Math"/>
                </w:rPr>
                <m:t xml:space="preserve">PesIndex</m:t>
              </m:r>
              <m:r>
                <w:rPr>
                  <w:rFonts w:ascii="Cambria Math" w:hAnsi="Cambria Math"/>
                </w:rPr>
                <m:t xml:space="preserve">=</m:t>
              </m:r>
              <m:d>
                <m:dPr>
                  <m:begChr m:val="["/>
                  <m:endChr m:val="]"/>
                </m:dPr>
                <m:e>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%ACT</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r>
                            <w:rPr>
                              <w:rFonts w:ascii="Cambria Math" w:hAnsi="Cambria Math"/>
                            </w:rPr>
                            <m:t xml:space="preserve">100</m:t>
                          </m:r>
                        </m:den>
                      </m:f>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%ACT</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r>
                            <w:rPr>
                              <w:rFonts w:ascii="Cambria Math" w:hAnsi="Cambria Math"/>
                            </w:rPr>
                            <m:t xml:space="preserve">100</m:t>
                          </m:r>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%ACT</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r>
                            <w:rPr>
                              <w:rFonts w:ascii="Cambria Math" w:hAnsi="Cambria Math"/>
                            </w:rPr>
                            <m:t xml:space="preserve">100</m:t>
                          </m:r>
                        </m:den>
                      </m:f>
                    </m:e>
                  </m:d>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PesIndex</m:t>
        </m:r>
      </m:oMath>
      <w:r>
        <w:rPr>
          <w:rFonts w:cs="Times New Roman" w:ascii="Times New Roman" w:hAnsi="Times New Roman"/>
          <w:sz w:val="20"/>
          <w:szCs w:val="20"/>
        </w:rPr>
        <w:t>= Índice de reajuste das despesas e custos com pessoal;</w:t>
      </w:r>
    </w:p>
    <w:p>
      <w:pPr>
        <w:pStyle w:val="Normal"/>
        <w:spacing w:lineRule="auto" w:line="240" w:before="0" w:after="0"/>
        <w:jc w:val="both"/>
        <w:rPr/>
      </w:pPr>
      <w:r>
        <w:rPr/>
      </w:r>
      <m:oMath xmlns:m="http://schemas.openxmlformats.org/officeDocument/2006/math">
        <m:sSub>
          <m:e>
            <m:r>
              <w:rPr>
                <w:rFonts w:ascii="Cambria Math" w:hAnsi="Cambria Math"/>
              </w:rPr>
              <m:t xml:space="preserve">%ACT</m:t>
            </m:r>
          </m:e>
          <m:sub>
            <m:r>
              <w:rPr>
                <w:rFonts w:ascii="Cambria Math" w:hAnsi="Cambria Math"/>
              </w:rPr>
              <m:t xml:space="preserve">i</m:t>
            </m:r>
          </m:sub>
        </m:sSub>
      </m:oMath>
      <w:r>
        <w:rPr>
          <w:rFonts w:cs="Times New Roman" w:ascii="Times New Roman" w:hAnsi="Times New Roman"/>
          <w:sz w:val="20"/>
          <w:szCs w:val="20"/>
        </w:rPr>
        <w:t xml:space="preserve">= Percentual de reajuste salarial, firmado no acordo coletivo de trabalho a vigorar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 xml:space="preserve">Com relação ao Percentual de reajuste salarial, firmado no acordo coletivo de trabalho - </w:t>
      </w:r>
      <w:r>
        <w:rPr/>
      </w:r>
      <m:oMath xmlns:m="http://schemas.openxmlformats.org/officeDocument/2006/math">
        <m:r>
          <w:rPr>
            <w:rFonts w:ascii="Cambria Math" w:hAnsi="Cambria Math"/>
          </w:rPr>
          <m:t xml:space="preserve">%ACT</m:t>
        </m:r>
      </m:oMath>
      <w:r>
        <w:rPr>
          <w:rFonts w:cs="Times New Roman" w:ascii="Times New Roman" w:hAnsi="Times New Roman"/>
          <w:sz w:val="24"/>
          <w:szCs w:val="24"/>
        </w:rPr>
        <w:t xml:space="preserve">, somente serão imputados valores maiores que zero, no primeiro período (mês) da vigência do reajuste salarial, obviamente para não distorcer o índice via efeito cascata. Os valores de referência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 xml:space="preserve"> para as despesas e custos com pessoal são calculados nas notações matemáticas 9 e 10.</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TPESn</m:t>
              </m:r>
              <m:r>
                <w:rPr>
                  <w:rFonts w:ascii="Cambria Math" w:hAnsi="Cambria Math"/>
                </w:rPr>
                <m:t xml:space="preserve">+</m:t>
              </m:r>
              <m:r>
                <w:rPr>
                  <w:rFonts w:ascii="Cambria Math" w:hAnsi="Cambria Math"/>
                </w:rPr>
                <m:t xml:space="preserve">TPESp</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TPESn</m:t>
                  </m:r>
                  <m:r>
                    <w:rPr>
                      <w:rFonts w:ascii="Cambria Math" w:hAnsi="Cambria Math"/>
                    </w:rPr>
                    <m:t xml:space="preserve">×</m:t>
                  </m:r>
                  <m:r>
                    <w:rPr>
                      <w:rFonts w:ascii="Cambria Math" w:hAnsi="Cambria Math"/>
                    </w:rPr>
                    <m:t xml:space="preserve">PesIndex</m:t>
                  </m:r>
                </m:e>
              </m:d>
              <m:r>
                <w:rPr>
                  <w:rFonts w:ascii="Cambria Math" w:hAnsi="Cambria Math"/>
                </w:rPr>
                <m:t xml:space="preserve">+</m:t>
              </m:r>
              <m:d>
                <m:dPr>
                  <m:begChr m:val="("/>
                  <m:endChr m:val=")"/>
                </m:dPr>
                <m:e>
                  <m:r>
                    <w:rPr>
                      <w:rFonts w:ascii="Cambria Math" w:hAnsi="Cambria Math"/>
                    </w:rPr>
                    <m:t xml:space="preserve">TPE</m:t>
                  </m:r>
                  <m:r>
                    <w:rPr>
                      <w:rFonts w:ascii="Cambria Math" w:hAnsi="Cambria Math"/>
                    </w:rPr>
                    <m:t xml:space="preserve">Sp</m:t>
                  </m:r>
                  <m:r>
                    <w:rPr>
                      <w:rFonts w:ascii="Cambria Math" w:hAnsi="Cambria Math"/>
                    </w:rPr>
                    <m:t xml:space="preserve">×</m:t>
                  </m:r>
                  <m:r>
                    <w:rPr>
                      <w:rFonts w:ascii="Cambria Math" w:hAnsi="Cambria Math"/>
                    </w:rPr>
                    <m:t xml:space="preserve">PesIndex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pessoal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TPES</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pessoal realizados de </w:t>
      </w:r>
      <w:r>
        <w:rPr>
          <w:i/>
          <w:color w:val="auto"/>
          <w:sz w:val="20"/>
          <w:szCs w:val="20"/>
        </w:rPr>
        <w:t>1;..;n</w:t>
      </w:r>
      <w:r>
        <w:rPr>
          <w:color w:val="auto"/>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PESn</m:t>
        </m:r>
      </m:oMath>
      <w:r>
        <w:rPr>
          <w:rFonts w:cs="Times New Roman" w:ascii="Times New Roman" w:hAnsi="Times New Roman"/>
          <w:sz w:val="20"/>
          <w:szCs w:val="20"/>
        </w:rPr>
        <w:t xml:space="preserve">=Valor total realizado com gastos de pessoal, sem aferição de produtividade no intervalo de tempo de 1 até </w:t>
      </w:r>
      <w:r>
        <w:rPr>
          <w:rFonts w:cs="Times New Roman" w:ascii="Times New Roman" w:hAnsi="Times New Roman"/>
          <w:i/>
          <w:sz w:val="20"/>
          <w:szCs w:val="20"/>
        </w:rPr>
        <w:t>n</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PESp</m:t>
        </m:r>
      </m:oMath>
      <w:r>
        <w:rPr>
          <w:rFonts w:cs="Times New Roman" w:ascii="Times New Roman" w:hAnsi="Times New Roman"/>
          <w:sz w:val="20"/>
          <w:szCs w:val="20"/>
        </w:rPr>
        <w:t xml:space="preserve">= Valor total realizado com gastos de pessoal, com aferição de produtividade no intervalo de tempo de 1 até </w:t>
      </w:r>
      <w:r>
        <w:rPr>
          <w:rFonts w:cs="Times New Roman" w:ascii="Times New Roman" w:hAnsi="Times New Roman"/>
          <w:i/>
          <w:sz w:val="20"/>
          <w:szCs w:val="20"/>
        </w:rPr>
        <w:t>n</w:t>
      </w:r>
      <w:r>
        <w:rPr>
          <w:rFonts w:cs="Times New Roman" w:ascii="Times New Roman" w:hAnsi="Times New Roman"/>
          <w:sz w:val="20"/>
          <w:szCs w:val="20"/>
        </w:rPr>
        <w:t>. (caso não seja comprovada o ganho de produtividade o valor será 0);</w:t>
      </w:r>
    </w:p>
    <w:p>
      <w:pPr>
        <w:pStyle w:val="Normal"/>
        <w:spacing w:lineRule="auto" w:line="240" w:before="0" w:after="0"/>
        <w:jc w:val="both"/>
        <w:rPr/>
      </w:pPr>
      <w:r>
        <w:rPr/>
      </w:r>
      <m:oMath xmlns:m="http://schemas.openxmlformats.org/officeDocument/2006/math">
        <m:r>
          <w:rPr>
            <w:rFonts w:ascii="Cambria Math" w:hAnsi="Cambria Math"/>
          </w:rPr>
          <m:t xml:space="preserve">PesIndex</m:t>
        </m:r>
      </m:oMath>
      <w:r>
        <w:rPr>
          <w:rFonts w:cs="Times New Roman" w:ascii="Times New Roman" w:hAnsi="Times New Roman"/>
          <w:sz w:val="20"/>
          <w:szCs w:val="20"/>
        </w:rPr>
        <w:t>= Índice de reajuste das despesas e custos com pessoal.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22" w:name="_Toc109911959"/>
      <w:bookmarkStart w:id="23" w:name="_Toc118711710"/>
      <w:r>
        <w:rPr/>
        <w:t>3.1.2 Despesas e custos com materiais</w:t>
      </w:r>
      <w:bookmarkEnd w:id="22"/>
      <w:bookmarkEnd w:id="23"/>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Conforme Nota Técnica 001/2018 – ARSBAN, as despesas e custos com materiais para efeito desse estudo são: “</w:t>
      </w:r>
      <w:r>
        <w:rPr>
          <w:rFonts w:cs="Times New Roman" w:ascii="Times New Roman" w:hAnsi="Times New Roman"/>
          <w:i/>
          <w:sz w:val="24"/>
          <w:szCs w:val="24"/>
        </w:rPr>
        <w:t>Material de Expediente, Uso e Consumo; Material de Operação de Sistemas; Material de Conservação e Manutenção de Bens Administrativos; Material de Limpeza e Higiene; Material de Manutenção Eletromecânica; Material de Laboratório; Material de Tratamento; Material de Manutenção de Hidrômetros; Material de Cortes e Religações; Pequenas Ferramentas; Material de Manutenção de Veículos; Combustíveis e Lubrificantes; Material de Natureza Permanente; Material de Segurança e Proteção; Material de Manutenção de Redes</w:t>
      </w:r>
      <w:r>
        <w:rPr>
          <w:rFonts w:cs="Times New Roman" w:ascii="Times New Roman" w:hAnsi="Times New Roman"/>
          <w:sz w:val="24"/>
          <w:szCs w:val="24"/>
        </w:rPr>
        <w:t>”.</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Obviamente, a lista acima, com 15 tipos de materiais sofre impactos inflacionários e deflacionários de forma diferente, por exemplo: Combustíveis e lubrificantes que sofrem impacto direto das variações cambiais e políticas governamentais de redução de preços no esforço de contenção inflacionária, diferentemente das pequenas ferramentas que possuem maior dispersão e sensibilidade aos processos inflacionários e deflacionários de forma mais abrangente.</w:t>
      </w:r>
    </w:p>
    <w:p>
      <w:pPr>
        <w:pStyle w:val="Normal"/>
        <w:spacing w:lineRule="auto" w:line="360" w:before="0" w:after="0"/>
        <w:ind w:firstLine="708"/>
        <w:jc w:val="both"/>
        <w:rPr/>
      </w:pPr>
      <w:r>
        <w:rPr>
          <w:rFonts w:cs="Times New Roman" w:ascii="Times New Roman" w:hAnsi="Times New Roman"/>
          <w:sz w:val="24"/>
          <w:szCs w:val="24"/>
        </w:rPr>
        <w:t>Algumas agências reguladoras adotam diferentes índices de atualização monetária para materiais de grupos abrangentes como: Materiais de tratamento (especialmente produtos químicos); materiais de consumo; materiais de manutenção e operação; combustíveis e lubrificantes e outros materiais. O Quadro 1 apresenta uma correlação das classificações para fins do reajuste tarifário.</w:t>
      </w:r>
    </w:p>
    <w:p>
      <w:pPr>
        <w:pStyle w:val="AaaaaaaRapido"/>
        <w:spacing w:before="0" w:after="0"/>
        <w:ind w:firstLine="709"/>
        <w:jc w:val="center"/>
        <w:rPr>
          <w:b/>
          <w:b/>
          <w:color w:val="auto"/>
          <w:sz w:val="20"/>
          <w:szCs w:val="20"/>
        </w:rPr>
      </w:pPr>
      <w:r>
        <w:rPr>
          <w:b/>
          <w:color w:val="auto"/>
          <w:sz w:val="20"/>
          <w:szCs w:val="20"/>
        </w:rPr>
        <w:t>Quadro 1 – Classificação dos materiais e tendência regulatória de indexação</w:t>
      </w:r>
    </w:p>
    <w:tbl>
      <w:tblPr>
        <w:tblW w:w="8613" w:type="dxa"/>
        <w:jc w:val="left"/>
        <w:tblInd w:w="-109" w:type="dxa"/>
        <w:tblCellMar>
          <w:top w:w="0" w:type="dxa"/>
          <w:left w:w="108" w:type="dxa"/>
          <w:bottom w:w="0" w:type="dxa"/>
          <w:right w:w="108" w:type="dxa"/>
        </w:tblCellMar>
        <w:tblLook w:firstRow="1" w:noVBand="1" w:lastRow="0" w:firstColumn="1" w:lastColumn="0" w:noHBand="0" w:val="04a0"/>
      </w:tblPr>
      <w:tblGrid>
        <w:gridCol w:w="2657"/>
        <w:gridCol w:w="3830"/>
        <w:gridCol w:w="2126"/>
      </w:tblGrid>
      <w:tr>
        <w:trPr/>
        <w:tc>
          <w:tcPr>
            <w:tcW w:w="2657" w:type="dxa"/>
            <w:tcBorders>
              <w:top w:val="single" w:sz="4" w:space="0" w:color="000000"/>
              <w:bottom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Grupo</w:t>
            </w:r>
          </w:p>
        </w:tc>
        <w:tc>
          <w:tcPr>
            <w:tcW w:w="3830" w:type="dxa"/>
            <w:tcBorders>
              <w:top w:val="single" w:sz="4" w:space="0" w:color="000000"/>
              <w:bottom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Tipo</w:t>
            </w:r>
          </w:p>
        </w:tc>
        <w:tc>
          <w:tcPr>
            <w:tcW w:w="2126" w:type="dxa"/>
            <w:tcBorders>
              <w:top w:val="single" w:sz="4" w:space="0" w:color="000000"/>
              <w:bottom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Índice de tendência regulatória</w:t>
            </w:r>
          </w:p>
        </w:tc>
      </w:tr>
      <w:tr>
        <w:trPr/>
        <w:tc>
          <w:tcPr>
            <w:tcW w:w="2657"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Materiais de tratamento e químicos</w:t>
            </w:r>
          </w:p>
        </w:tc>
        <w:tc>
          <w:tcPr>
            <w:tcW w:w="3830" w:type="dxa"/>
            <w:tcBorders>
              <w:top w:val="single" w:sz="4" w:space="0" w:color="000000"/>
              <w:bottom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Material de Laboratório; Material de Tratamento.</w:t>
            </w:r>
          </w:p>
        </w:tc>
        <w:tc>
          <w:tcPr>
            <w:tcW w:w="2126"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IGP-M/IGP-DI</w:t>
            </w:r>
          </w:p>
        </w:tc>
      </w:tr>
      <w:tr>
        <w:trPr/>
        <w:tc>
          <w:tcPr>
            <w:tcW w:w="2657"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Combustíveis e Lubrificantes</w:t>
            </w:r>
          </w:p>
        </w:tc>
        <w:tc>
          <w:tcPr>
            <w:tcW w:w="3830" w:type="dxa"/>
            <w:tcBorders>
              <w:top w:val="single" w:sz="4" w:space="0" w:color="000000"/>
              <w:bottom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Combustíveis e Lubrificantes.</w:t>
            </w:r>
          </w:p>
        </w:tc>
        <w:tc>
          <w:tcPr>
            <w:tcW w:w="2126" w:type="dxa"/>
            <w:vMerge w:val="restart"/>
            <w:tcBorders>
              <w:top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IPCA</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2657"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Materiais de consumo</w:t>
            </w:r>
          </w:p>
        </w:tc>
        <w:tc>
          <w:tcPr>
            <w:tcW w:w="3830" w:type="dxa"/>
            <w:tcBorders>
              <w:top w:val="single" w:sz="4" w:space="0" w:color="000000"/>
              <w:bottom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Material de Expediente, Uso e Consumo.</w:t>
            </w:r>
          </w:p>
        </w:tc>
        <w:tc>
          <w:tcPr>
            <w:tcW w:w="2126" w:type="dxa"/>
            <w:vMerge w:val="continue"/>
            <w:tcBorders>
              <w:top w:val="single" w:sz="4" w:space="0" w:color="000000"/>
              <w:bottom w:val="single" w:sz="4" w:space="0" w:color="000000"/>
            </w:tcBorders>
            <w:shd w:color="auto" w:fill="auto" w:val="clear"/>
            <w:vAlign w:val="center"/>
          </w:tcPr>
          <w:p>
            <w:pPr>
              <w:pStyle w:val="Normal"/>
              <w:widowControl w:val="false"/>
              <w:spacing w:before="0" w:after="200"/>
              <w:rPr/>
            </w:pPr>
            <w:r>
              <w:rPr/>
            </w:r>
          </w:p>
        </w:tc>
      </w:tr>
      <w:tr>
        <w:trPr/>
        <w:tc>
          <w:tcPr>
            <w:tcW w:w="2657"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Materiais de manutenção e operação</w:t>
            </w:r>
          </w:p>
        </w:tc>
        <w:tc>
          <w:tcPr>
            <w:tcW w:w="3830" w:type="dxa"/>
            <w:tcBorders>
              <w:top w:val="single" w:sz="4" w:space="0" w:color="000000"/>
              <w:bottom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Material de Operação de Sistemas; Material de Manutenção Eletromecânica; Material de Manutenção de Hidrômetros; Material de Cortes e Religações; Material de Manutenção de Veículos; Material de Natureza Permanente; Material de Segurança e Proteção; Material de Manutenção de Redes.</w:t>
            </w:r>
          </w:p>
        </w:tc>
        <w:tc>
          <w:tcPr>
            <w:tcW w:w="2126" w:type="dxa"/>
            <w:vMerge w:val="continue"/>
            <w:tcBorders>
              <w:top w:val="single" w:sz="4" w:space="0" w:color="000000"/>
              <w:bottom w:val="single" w:sz="4" w:space="0" w:color="000000"/>
            </w:tcBorders>
            <w:shd w:color="auto" w:fill="auto" w:val="clear"/>
            <w:vAlign w:val="center"/>
          </w:tcPr>
          <w:p>
            <w:pPr>
              <w:pStyle w:val="Normal"/>
              <w:widowControl w:val="false"/>
              <w:spacing w:before="0" w:after="200"/>
              <w:rPr/>
            </w:pPr>
            <w:r>
              <w:rPr/>
            </w:r>
          </w:p>
        </w:tc>
      </w:tr>
      <w:tr>
        <w:trPr/>
        <w:tc>
          <w:tcPr>
            <w:tcW w:w="2657"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Outros materiais</w:t>
            </w:r>
          </w:p>
        </w:tc>
        <w:tc>
          <w:tcPr>
            <w:tcW w:w="3830" w:type="dxa"/>
            <w:tcBorders>
              <w:top w:val="single" w:sz="4" w:space="0" w:color="000000"/>
              <w:bottom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shd w:fill="FFFFFF" w:val="clear"/>
              </w:rPr>
              <w:t>Material de Conservação e Manutenção de Bens Administrativos; Material de Limpeza e Higiene;</w:t>
            </w:r>
            <w:r>
              <w:rPr>
                <w:rFonts w:cs="Times New Roman" w:ascii="Times New Roman" w:hAnsi="Times New Roman"/>
                <w:sz w:val="20"/>
                <w:szCs w:val="20"/>
              </w:rPr>
              <w:t xml:space="preserve"> Pequenas Ferramentas.</w:t>
            </w:r>
          </w:p>
        </w:tc>
        <w:tc>
          <w:tcPr>
            <w:tcW w:w="2126" w:type="dxa"/>
            <w:vMerge w:val="continue"/>
            <w:tcBorders>
              <w:top w:val="single" w:sz="4" w:space="0" w:color="000000"/>
              <w:bottom w:val="single" w:sz="4" w:space="0" w:color="000000"/>
            </w:tcBorders>
            <w:shd w:color="auto" w:fill="auto" w:val="clear"/>
            <w:vAlign w:val="center"/>
          </w:tcPr>
          <w:p>
            <w:pPr>
              <w:pStyle w:val="Normal"/>
              <w:widowControl w:val="false"/>
              <w:spacing w:before="0" w:after="200"/>
              <w:rPr/>
            </w:pPr>
            <w:r>
              <w:rPr/>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 xml:space="preserve">As resoluções 001/2015, 001/2016, 003/2016 e 001/2018 – ARSBAN aprovaram os pleitos tarifários com base em cestas de índices, vinculando todos os materiais ao Índice Geral de Preços – Disponibilidade Interna – IGP-DI (medido pela Fundação Getúlio Vargas), que segue a tendência regulatória para os materiais de tratamento e químicos. Neste o referido índice será mantido para o referido grupo de materiais. A formulação matemática 11 apresenta o método de cálculo do Índice de reajuste das despesas e custos indexados pelo IGP-DI - </w:t>
      </w:r>
      <w:r>
        <w:rPr/>
      </w:r>
      <m:oMath xmlns:m="http://schemas.openxmlformats.org/officeDocument/2006/math">
        <m:r>
          <w:rPr>
            <w:rFonts w:ascii="Cambria Math" w:hAnsi="Cambria Math"/>
          </w:rPr>
          <m:t xml:space="preserve">IGPIndex</m:t>
        </m:r>
      </m:oMath>
      <w:r>
        <w:rPr>
          <w:rFonts w:cs="Times New Roman" w:ascii="Times New Roman" w:hAnsi="Times New Roman"/>
        </w:rPr>
        <w:t>.</w:t>
      </w:r>
    </w:p>
    <w:tbl>
      <w:tblPr>
        <w:tblW w:w="8820" w:type="dxa"/>
        <w:jc w:val="left"/>
        <w:tblInd w:w="-284" w:type="dxa"/>
        <w:tblCellMar>
          <w:top w:w="0" w:type="dxa"/>
          <w:left w:w="108" w:type="dxa"/>
          <w:bottom w:w="0" w:type="dxa"/>
          <w:right w:w="108" w:type="dxa"/>
        </w:tblCellMar>
        <w:tblLook w:firstRow="1" w:noVBand="1" w:lastRow="0" w:firstColumn="1" w:lastColumn="0" w:noHBand="0" w:val="04a0"/>
      </w:tblPr>
      <w:tblGrid>
        <w:gridCol w:w="7938"/>
        <w:gridCol w:w="881"/>
      </w:tblGrid>
      <w:tr>
        <w:trPr/>
        <w:tc>
          <w:tcPr>
            <w:tcW w:w="7938" w:type="dxa"/>
            <w:tcBorders/>
            <w:shd w:color="auto" w:fill="auto" w:val="clear"/>
          </w:tcPr>
          <w:p>
            <w:pPr>
              <w:pStyle w:val="Normal"/>
              <w:widowControl w:val="false"/>
              <w:spacing w:lineRule="auto" w:line="360" w:before="0" w:after="0"/>
              <w:ind w:hanging="108"/>
              <w:jc w:val="center"/>
              <w:rPr/>
            </w:pPr>
            <w:r>
              <w:rPr/>
            </w:r>
            <m:oMath xmlns:m="http://schemas.openxmlformats.org/officeDocument/2006/math">
              <m:r>
                <w:rPr>
                  <w:rFonts w:ascii="Cambria Math" w:hAnsi="Cambria Math"/>
                </w:rPr>
                <m:t xml:space="preserve">IGPIndex</m:t>
              </m:r>
              <m:r>
                <w:rPr>
                  <w:rFonts w:ascii="Cambria Math" w:hAnsi="Cambria Math"/>
                </w:rPr>
                <m:t xml:space="preserve">=</m:t>
              </m:r>
              <m:d>
                <m:dPr>
                  <m:begChr m:val="["/>
                  <m:endChr m:val="]"/>
                </m:dPr>
                <m:e>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%IGPDI</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r>
                            <w:rPr>
                              <w:rFonts w:ascii="Cambria Math" w:hAnsi="Cambria Math"/>
                            </w:rPr>
                            <m:t xml:space="preserve">100</m:t>
                          </m:r>
                        </m:den>
                      </m:f>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%IGPDI</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r>
                            <w:rPr>
                              <w:rFonts w:ascii="Cambria Math" w:hAnsi="Cambria Math"/>
                            </w:rPr>
                            <m:t xml:space="preserve">100</m:t>
                          </m:r>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%IGPDI</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r>
                            <w:rPr>
                              <w:rFonts w:ascii="Cambria Math" w:hAnsi="Cambria Math"/>
                            </w:rPr>
                            <m:t xml:space="preserve">100</m:t>
                          </m:r>
                        </m:den>
                      </m:f>
                    </m:e>
                  </m:d>
                </m:e>
              </m:d>
            </m:oMath>
          </w:p>
        </w:tc>
        <w:tc>
          <w:tcPr>
            <w:tcW w:w="88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(11)</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IGPIndex</m:t>
        </m:r>
      </m:oMath>
      <w:r>
        <w:rPr>
          <w:rFonts w:cs="Times New Roman" w:ascii="Times New Roman" w:hAnsi="Times New Roman"/>
          <w:sz w:val="20"/>
          <w:szCs w:val="20"/>
        </w:rPr>
        <w:t>= Índice de reajuste das despesas e custos indexados pelo IGP-DI;</w:t>
      </w:r>
    </w:p>
    <w:p>
      <w:pPr>
        <w:pStyle w:val="Normal"/>
        <w:spacing w:lineRule="auto" w:line="240" w:before="0" w:after="0"/>
        <w:jc w:val="both"/>
        <w:rPr/>
      </w:pPr>
      <w:r>
        <w:rPr/>
      </w:r>
      <m:oMath xmlns:m="http://schemas.openxmlformats.org/officeDocument/2006/math">
        <m:sSub>
          <m:e>
            <m:r>
              <w:rPr>
                <w:rFonts w:ascii="Cambria Math" w:hAnsi="Cambria Math"/>
              </w:rPr>
              <m:t xml:space="preserve">%IGPDI</m:t>
            </m:r>
          </m:e>
          <m:sub>
            <m:r>
              <w:rPr>
                <w:rFonts w:ascii="Cambria Math" w:hAnsi="Cambria Math"/>
              </w:rPr>
              <m:t xml:space="preserve">i</m:t>
            </m:r>
          </m:sub>
        </m:sSub>
      </m:oMath>
      <w:r>
        <w:rPr>
          <w:rFonts w:cs="Times New Roman" w:ascii="Times New Roman" w:hAnsi="Times New Roman"/>
          <w:sz w:val="20"/>
          <w:szCs w:val="20"/>
        </w:rPr>
        <w:t xml:space="preserve">= Percentual do IGP-DI no final do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Mesmo ciente da tendência regulatória, baseada no Índice Nacional de Preços ao Consumidor Amplo – IPCA (medido pelo Instituto Brasileiro de Geografia e Estatística) para a indexação dos valores dos combustíveis, entende-se ser interessante considerar as flutuações dos preços dos mesmos em função da política nacional de combustíveis de preços flexíveis e variações de preços no mercado internacional de combustíveis. Para captar o referido efeito o índice de reajuste das despesas e custos com combustíveis e lubrificantes automotivos – </w:t>
      </w:r>
      <w:r>
        <w:rPr/>
      </w:r>
      <m:oMath xmlns:m="http://schemas.openxmlformats.org/officeDocument/2006/math">
        <m:r>
          <w:rPr>
            <w:rFonts w:ascii="Cambria Math" w:hAnsi="Cambria Math"/>
          </w:rPr>
          <m:t xml:space="preserve">CombIndex</m:t>
        </m:r>
      </m:oMath>
      <w:r>
        <w:rPr>
          <w:rFonts w:cs="Times New Roman" w:ascii="Times New Roman" w:hAnsi="Times New Roman"/>
          <w:sz w:val="24"/>
          <w:szCs w:val="24"/>
        </w:rPr>
        <w:t xml:space="preserve"> é calculado pela variação histórica dos preços médios mensais de Gasolina e Diesel para Natal, fornecidos pela Agência Nacional de Petróleo – ANP, considerando uma ponderação como base na proporção média dos gastos da CAERN com cada tipo de combustível: Fator de ponderação do gasto com Diesel – </w:t>
      </w:r>
      <w:r>
        <w:rPr/>
      </w:r>
      <m:oMath xmlns:m="http://schemas.openxmlformats.org/officeDocument/2006/math">
        <m:r>
          <w:rPr>
            <w:rFonts w:ascii="Cambria Math" w:hAnsi="Cambria Math"/>
          </w:rPr>
          <m:t xml:space="preserve">F</m:t>
        </m:r>
        <m:r>
          <w:rPr>
            <w:rFonts w:ascii="Cambria Math" w:hAnsi="Cambria Math"/>
          </w:rPr>
          <m:t xml:space="preserve">PDiesel</m:t>
        </m:r>
      </m:oMath>
      <w:r>
        <w:rPr>
          <w:rFonts w:cs="Times New Roman" w:ascii="Times New Roman" w:hAnsi="Times New Roman"/>
          <w:sz w:val="24"/>
          <w:szCs w:val="24"/>
        </w:rPr>
        <w:t xml:space="preserve"> e Fator de ponderação do gasto com Gasolina - </w:t>
      </w:r>
      <w:r>
        <w:rPr/>
      </w:r>
      <m:oMath xmlns:m="http://schemas.openxmlformats.org/officeDocument/2006/math">
        <m:r>
          <w:rPr>
            <w:rFonts w:ascii="Cambria Math" w:hAnsi="Cambria Math"/>
          </w:rPr>
          <m:t xml:space="preserve">F</m:t>
        </m:r>
        <m:r>
          <w:rPr>
            <w:rFonts w:ascii="Cambria Math" w:hAnsi="Cambria Math"/>
          </w:rPr>
          <m:t xml:space="preserve">PGas</m:t>
        </m:r>
      </m:oMath>
      <w:r>
        <w:rPr>
          <w:rStyle w:val="Ncoradanotaderodap"/>
          <w:rFonts w:cs="Times New Roman" w:ascii="Times New Roman" w:hAnsi="Times New Roman"/>
          <w:sz w:val="24"/>
          <w:szCs w:val="24"/>
        </w:rPr>
        <w:footnoteReference w:id="5"/>
      </w:r>
      <w:r>
        <w:rPr/>
      </w:r>
      <m:oMath xmlns:m="http://schemas.openxmlformats.org/officeDocument/2006/math">
        <m:r>
          <w:rPr>
            <w:rFonts w:ascii="Cambria Math" w:hAnsi="Cambria Math"/>
          </w:rPr>
          <m:t xml:space="preserve">.</m:t>
        </m:r>
      </m:oMath>
    </w:p>
    <w:p>
      <w:pPr>
        <w:pStyle w:val="Normal"/>
        <w:spacing w:lineRule="auto" w:line="360" w:before="0" w:after="0"/>
        <w:ind w:firstLine="708"/>
        <w:jc w:val="both"/>
        <w:rPr/>
      </w:pPr>
      <w:r>
        <w:rPr>
          <w:rFonts w:cs="Times New Roman" w:ascii="Times New Roman" w:hAnsi="Times New Roman"/>
          <w:sz w:val="24"/>
          <w:szCs w:val="24"/>
        </w:rPr>
        <w:t>Os índices de variações dos preços da gasolina e óleo diesel, segundo valores encontrados na pesquisa ANP poderão ser calculados na forma ponderada e acumulada (ver formulações 15 a 18). Os testes de aderência apresentados pela concessionária e verificados pela ARSBAN demonstraram que a “</w:t>
      </w:r>
      <w:r>
        <w:rPr>
          <w:rFonts w:cs="Times New Roman" w:ascii="Times New Roman" w:hAnsi="Times New Roman"/>
          <w:i/>
          <w:iCs/>
          <w:sz w:val="24"/>
          <w:szCs w:val="24"/>
        </w:rPr>
        <w:t>fórmula ponderada deve ser utilizada apenas quando se apresentar quedas consideráveis no final do período, ou seja, quando o Índice ponderado for maior ou igual ao índice acumulado, caso contrário deve-se utilizar o índice acumulado. Pois, esse índice ponderado é uma maneira de mitigar a perda monetária do período em casos de volatilidade extrema, não captando a perda monetária real do período</w:t>
      </w:r>
      <w:r>
        <w:rPr>
          <w:rFonts w:cs="Times New Roman" w:ascii="Times New Roman" w:hAnsi="Times New Roman"/>
          <w:sz w:val="24"/>
          <w:szCs w:val="24"/>
        </w:rPr>
        <w:t>” (SEI/SEARH - 16211503 – Relatório</w:t>
      </w:r>
      <w:r>
        <w:rPr>
          <w:rStyle w:val="Ncoradanotaderodap"/>
          <w:rFonts w:cs="Times New Roman" w:ascii="Times New Roman" w:hAnsi="Times New Roman"/>
          <w:sz w:val="24"/>
          <w:szCs w:val="24"/>
        </w:rPr>
        <w:footnoteReference w:id="6"/>
      </w:r>
      <w:r>
        <w:rPr>
          <w:rFonts w:cs="Times New Roman" w:ascii="Times New Roman" w:hAnsi="Times New Roman"/>
          <w:sz w:val="24"/>
          <w:szCs w:val="24"/>
        </w:rPr>
        <w:t>). As formulações matemáticas 12 a 18 detalham o cálculo do índice de combustíveis.</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8013"/>
        <w:gridCol w:w="631"/>
      </w:tblGrid>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CombIndex</m:t>
              </m:r>
              <m:r>
                <w:rPr>
                  <w:rFonts w:ascii="Cambria Math" w:hAnsi="Cambria Math"/>
                </w:rPr>
                <m:t xml:space="preserve">=</m:t>
              </m:r>
              <m:d>
                <m:dPr>
                  <m:begChr m:val="("/>
                  <m:endChr m:val=")"/>
                </m:dPr>
                <m:e>
                  <m:r>
                    <w:rPr>
                      <w:rFonts w:ascii="Cambria Math" w:hAnsi="Cambria Math"/>
                    </w:rPr>
                    <m:t xml:space="preserve">GasIndex</m:t>
                  </m:r>
                  <m:r>
                    <w:rPr>
                      <w:rFonts w:ascii="Cambria Math" w:hAnsi="Cambria Math"/>
                    </w:rPr>
                    <m:t xml:space="preserve">×</m:t>
                  </m:r>
                  <m:r>
                    <w:rPr>
                      <w:rFonts w:ascii="Cambria Math" w:hAnsi="Cambria Math"/>
                    </w:rPr>
                    <m:t xml:space="preserve">FPGas</m:t>
                  </m:r>
                </m:e>
              </m:d>
              <m:r>
                <w:rPr>
                  <w:rFonts w:ascii="Cambria Math" w:hAnsi="Cambria Math"/>
                </w:rPr>
                <m:t xml:space="preserve">+</m:t>
              </m:r>
              <m:d>
                <m:dPr>
                  <m:begChr m:val="("/>
                  <m:endChr m:val=")"/>
                </m:dPr>
                <m:e>
                  <m:r>
                    <w:rPr>
                      <w:rFonts w:ascii="Cambria Math" w:hAnsi="Cambria Math"/>
                    </w:rPr>
                    <m:t xml:space="preserve">DieselIndex</m:t>
                  </m:r>
                  <m:r>
                    <w:rPr>
                      <w:rFonts w:ascii="Cambria Math" w:hAnsi="Cambria Math"/>
                    </w:rPr>
                    <m:t xml:space="preserve">×</m:t>
                  </m:r>
                  <m:r>
                    <w:rPr>
                      <w:rFonts w:ascii="Cambria Math" w:hAnsi="Cambria Math"/>
                    </w:rPr>
                    <m:t xml:space="preserve">FPDie</m:t>
                  </m:r>
                  <m:r>
                    <w:rPr>
                      <w:rFonts w:ascii="Cambria Math" w:hAnsi="Cambria Math"/>
                    </w:rPr>
                    <m:t xml:space="preserve">sel</m:t>
                  </m:r>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GasIndex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GasIndex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GasIndex</m:t>
                  </m:r>
                  <m:r>
                    <w:rPr>
                      <w:rFonts w:ascii="Cambria Math" w:hAnsi="Cambria Math"/>
                    </w:rPr>
                    <m:t xml:space="preserve">=</m:t>
                  </m:r>
                  <m:sSub>
                    <m:e>
                      <m:r>
                        <w:rPr>
                          <w:rFonts w:ascii="Cambria Math" w:hAnsi="Cambria Math"/>
                        </w:rPr>
                        <m:t xml:space="preserve">GasIndex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w:t>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d>
                <m:dPr>
                  <m:begChr m:val="("/>
                  <m:endChr m:val=")"/>
                </m:dPr>
                <m:e>
                  <m:sSub>
                    <m:e>
                      <m:r>
                        <w:rPr>
                          <w:rFonts w:ascii="Cambria Math" w:hAnsi="Cambria Math"/>
                        </w:rPr>
                        <m:t xml:space="preserve">GasIndex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GasIndex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GasIndex</m:t>
                  </m:r>
                  <m:r>
                    <w:rPr>
                      <w:rFonts w:ascii="Cambria Math" w:hAnsi="Cambria Math"/>
                    </w:rPr>
                    <m:t xml:space="preserve">=</m:t>
                  </m:r>
                  <m:sSub>
                    <m:e>
                      <m:r>
                        <w:rPr>
                          <w:rFonts w:ascii="Cambria Math" w:hAnsi="Cambria Math"/>
                        </w:rPr>
                        <m:t xml:space="preserve">GasIndex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DieselIndex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DieselIndex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DieselIndex</m:t>
                  </m:r>
                  <m:r>
                    <w:rPr>
                      <w:rFonts w:ascii="Cambria Math" w:hAnsi="Cambria Math"/>
                    </w:rPr>
                    <m:t xml:space="preserve">=</m:t>
                  </m:r>
                  <m:sSub>
                    <m:e>
                      <m:r>
                        <w:rPr>
                          <w:rFonts w:ascii="Cambria Math" w:hAnsi="Cambria Math"/>
                        </w:rPr>
                        <m:t xml:space="preserve">DieselIndex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(14)</w:t>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d>
                <m:dPr>
                  <m:begChr m:val="("/>
                  <m:endChr m:val=")"/>
                </m:dPr>
                <m:e>
                  <m:sSub>
                    <m:e>
                      <m:r>
                        <w:rPr>
                          <w:rFonts w:ascii="Cambria Math" w:hAnsi="Cambria Math"/>
                        </w:rPr>
                        <m:t xml:space="preserve">DieselIndex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DieselIndex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DieselIndex</m:t>
                  </m:r>
                  <m:r>
                    <w:rPr>
                      <w:rFonts w:ascii="Cambria Math" w:hAnsi="Cambria Math"/>
                    </w:rPr>
                    <m:t xml:space="preserve">=</m:t>
                  </m:r>
                  <m:sSub>
                    <m:e>
                      <m:r>
                        <w:rPr>
                          <w:rFonts w:ascii="Cambria Math" w:hAnsi="Cambria Math"/>
                        </w:rPr>
                        <m:t xml:space="preserve">DieselIndex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GasIndex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Pgas</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Pgas</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Pgas</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(15)</w:t>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GasIndex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Pgas</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Pgas</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Pgas</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(16)</w:t>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DieselIndex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Pdiesel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Pdiesel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Pdiesel</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(17)</w:t>
            </w:r>
          </w:p>
        </w:tc>
      </w:tr>
      <w:tr>
        <w:trPr/>
        <w:tc>
          <w:tcPr>
            <w:tcW w:w="8013"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DieselIndex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Pdiesel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Pdiesel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Pdiesel</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(18)</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CombIndex</m:t>
        </m:r>
      </m:oMath>
      <w:r>
        <w:rPr>
          <w:rFonts w:cs="Times New Roman" w:ascii="Times New Roman" w:hAnsi="Times New Roman"/>
          <w:sz w:val="20"/>
          <w:szCs w:val="20"/>
        </w:rPr>
        <w:t>= Índice de reajuste das despesas e custos com combustíveis e lubrificantes automotivos;</w:t>
      </w:r>
    </w:p>
    <w:p>
      <w:pPr>
        <w:pStyle w:val="Normal"/>
        <w:spacing w:lineRule="auto" w:line="240" w:before="0" w:after="0"/>
        <w:jc w:val="both"/>
        <w:rPr/>
      </w:pPr>
      <w:r>
        <w:rPr/>
      </w:r>
      <m:oMath xmlns:m="http://schemas.openxmlformats.org/officeDocument/2006/math">
        <m:r>
          <w:rPr>
            <w:rFonts w:ascii="Cambria Math" w:hAnsi="Cambria Math"/>
          </w:rPr>
          <m:t xml:space="preserve">GasIndex</m:t>
        </m:r>
      </m:oMath>
      <w:r>
        <w:rPr>
          <w:rFonts w:cs="Times New Roman" w:ascii="Times New Roman" w:hAnsi="Times New Roman"/>
          <w:sz w:val="20"/>
          <w:szCs w:val="20"/>
        </w:rPr>
        <w:t>= Índice de variação dos preços da gasolina na pesquisa da ANP;</w:t>
      </w:r>
    </w:p>
    <w:p>
      <w:pPr>
        <w:pStyle w:val="Normal"/>
        <w:spacing w:lineRule="auto" w:line="240" w:before="0" w:after="0"/>
        <w:jc w:val="both"/>
        <w:rPr/>
      </w:pPr>
      <w:r>
        <w:rPr/>
      </w:r>
      <m:oMath xmlns:m="http://schemas.openxmlformats.org/officeDocument/2006/math">
        <m:r>
          <w:rPr>
            <w:rFonts w:ascii="Cambria Math" w:hAnsi="Cambria Math"/>
          </w:rPr>
          <m:t xml:space="preserve">FPGas</m:t>
        </m:r>
      </m:oMath>
      <w:r>
        <w:rPr>
          <w:rFonts w:cs="Times New Roman" w:ascii="Times New Roman" w:hAnsi="Times New Roman"/>
          <w:sz w:val="20"/>
          <w:szCs w:val="20"/>
        </w:rPr>
        <w:t>= Fator de ponderação do gasto com gasolina, proveniente da representatividade do gasto com gasolina, em relação ao total de combustíveis;</w:t>
      </w:r>
    </w:p>
    <w:p>
      <w:pPr>
        <w:pStyle w:val="Normal"/>
        <w:spacing w:lineRule="auto" w:line="240" w:before="0" w:after="0"/>
        <w:jc w:val="both"/>
        <w:rPr/>
      </w:pPr>
      <w:r>
        <w:rPr/>
      </w:r>
      <m:oMath xmlns:m="http://schemas.openxmlformats.org/officeDocument/2006/math">
        <m:r>
          <w:rPr>
            <w:rFonts w:ascii="Cambria Math" w:hAnsi="Cambria Math"/>
          </w:rPr>
          <m:t xml:space="preserve">DieselIndex</m:t>
        </m:r>
      </m:oMath>
      <w:r>
        <w:rPr>
          <w:rFonts w:cs="Times New Roman" w:ascii="Times New Roman" w:hAnsi="Times New Roman"/>
          <w:sz w:val="20"/>
          <w:szCs w:val="20"/>
        </w:rPr>
        <w:t>= Índice de variação dos preços do diesel na pesquisa da ANP;</w:t>
      </w:r>
    </w:p>
    <w:p>
      <w:pPr>
        <w:pStyle w:val="Normal"/>
        <w:spacing w:lineRule="auto" w:line="240" w:before="0" w:after="0"/>
        <w:jc w:val="both"/>
        <w:rPr/>
      </w:pPr>
      <w:r>
        <w:rPr/>
      </w:r>
      <m:oMath xmlns:m="http://schemas.openxmlformats.org/officeDocument/2006/math">
        <m:r>
          <w:rPr>
            <w:rFonts w:ascii="Cambria Math" w:hAnsi="Cambria Math"/>
          </w:rPr>
          <m:t xml:space="preserve">FPDiesel</m:t>
        </m:r>
      </m:oMath>
      <w:r>
        <w:rPr>
          <w:rFonts w:cs="Times New Roman" w:ascii="Times New Roman" w:hAnsi="Times New Roman"/>
          <w:sz w:val="20"/>
          <w:szCs w:val="20"/>
        </w:rPr>
        <w:t>= Fator de ponderação do gasto com diesel, proveniente da representatividade do gasto com diesel, em relação ao total de combustíveis;</w:t>
      </w:r>
    </w:p>
    <w:p>
      <w:pPr>
        <w:pStyle w:val="Normal"/>
        <w:spacing w:lineRule="auto" w:line="240" w:before="0" w:after="0"/>
        <w:rPr>
          <w:rFonts w:ascii="Times New Roman" w:hAnsi="Times New Roman" w:cs="Times New Roman"/>
          <w:sz w:val="20"/>
          <w:szCs w:val="20"/>
        </w:rPr>
      </w:pPr>
      <w:r>
        <w:rPr/>
      </w:r>
      <m:oMath xmlns:m="http://schemas.openxmlformats.org/officeDocument/2006/math">
        <m:r>
          <w:rPr>
            <w:rFonts w:ascii="Cambria Math" w:hAnsi="Cambria Math"/>
          </w:rPr>
          <m:t xml:space="preserve">G</m:t>
        </m:r>
        <m:sSub>
          <m:e>
            <m:r>
              <w:rPr>
                <w:rFonts w:ascii="Cambria Math" w:hAnsi="Cambria Math"/>
              </w:rPr>
              <m:t xml:space="preserve">asIndex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da gasolina na pesquisa da ANP;</w:t>
      </w:r>
    </w:p>
    <w:p>
      <w:pPr>
        <w:pStyle w:val="Normal"/>
        <w:spacing w:lineRule="auto" w:line="240" w:before="0" w:after="0"/>
        <w:rPr>
          <w:rFonts w:ascii="Times New Roman" w:hAnsi="Times New Roman" w:cs="Times New Roman"/>
          <w:sz w:val="20"/>
          <w:szCs w:val="20"/>
        </w:rPr>
      </w:pPr>
      <w:r>
        <w:rPr/>
      </w:r>
      <m:oMath xmlns:m="http://schemas.openxmlformats.org/officeDocument/2006/math">
        <m:r>
          <w:rPr>
            <w:rFonts w:ascii="Cambria Math" w:hAnsi="Cambria Math"/>
          </w:rPr>
          <m:t xml:space="preserve">G</m:t>
        </m:r>
        <m:sSub>
          <m:e>
            <m:r>
              <w:rPr>
                <w:rFonts w:ascii="Cambria Math" w:hAnsi="Cambria Math"/>
              </w:rPr>
              <m:t xml:space="preserve">asIndex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da gasolina na pesquisa da ANP;</w:t>
      </w:r>
    </w:p>
    <w:p>
      <w:pPr>
        <w:pStyle w:val="Normal"/>
        <w:spacing w:lineRule="auto" w:line="240" w:before="0" w:after="0"/>
        <w:rPr>
          <w:rFonts w:ascii="Times New Roman" w:hAnsi="Times New Roman" w:cs="Times New Roman"/>
          <w:sz w:val="20"/>
          <w:szCs w:val="20"/>
        </w:rPr>
      </w:pPr>
      <w:r>
        <w:rPr/>
      </w:r>
      <m:oMath xmlns:m="http://schemas.openxmlformats.org/officeDocument/2006/math">
        <m:sSub>
          <m:e>
            <m:r>
              <w:rPr>
                <w:rFonts w:ascii="Cambria Math" w:hAnsi="Cambria Math"/>
              </w:rPr>
              <m:t xml:space="preserve">Pgas</m:t>
            </m:r>
          </m:e>
          <m:sub>
            <m:r>
              <w:rPr>
                <w:rFonts w:ascii="Cambria Math" w:hAnsi="Cambria Math"/>
              </w:rPr>
              <m:t xml:space="preserve">i</m:t>
            </m:r>
          </m:sub>
        </m:sSub>
      </m:oMath>
      <w:r>
        <w:rPr>
          <w:rFonts w:cs="Times New Roman" w:ascii="Times New Roman" w:hAnsi="Times New Roman"/>
          <w:sz w:val="20"/>
          <w:szCs w:val="20"/>
        </w:rPr>
        <w:t xml:space="preserve">= Preço médio da gasolina na pesquisa da ANP no período </w:t>
      </w:r>
      <w:r>
        <w:rPr>
          <w:rFonts w:cs="Times New Roman" w:ascii="Times New Roman" w:hAnsi="Times New Roman"/>
          <w:i/>
          <w:iCs/>
          <w:sz w:val="20"/>
          <w:szCs w:val="20"/>
        </w:rPr>
        <w:t>i</w:t>
      </w: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m:oMath xmlns:m="http://schemas.openxmlformats.org/officeDocument/2006/math">
        <m:sSub>
          <m:e>
            <m:r>
              <w:rPr>
                <w:rFonts w:ascii="Cambria Math" w:hAnsi="Cambria Math"/>
              </w:rPr>
              <m:t xml:space="preserve">Pgas</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da gasolina na pesquisa da ANP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m:oMath xmlns:m="http://schemas.openxmlformats.org/officeDocument/2006/math">
        <m:sSub>
          <m:e>
            <m:r>
              <w:rPr>
                <w:rFonts w:ascii="Cambria Math" w:hAnsi="Cambria Math"/>
              </w:rPr>
              <m:t xml:space="preserve">Pdiesel</m:t>
            </m:r>
          </m:e>
          <m:sub>
            <m:r>
              <w:rPr>
                <w:rFonts w:ascii="Cambria Math" w:hAnsi="Cambria Math"/>
              </w:rPr>
              <m:t xml:space="preserve">i</m:t>
            </m:r>
          </m:sub>
        </m:sSub>
      </m:oMath>
      <w:r>
        <w:rPr>
          <w:rFonts w:cs="Times New Roman" w:ascii="Times New Roman" w:hAnsi="Times New Roman"/>
          <w:sz w:val="20"/>
          <w:szCs w:val="20"/>
        </w:rPr>
        <w:t xml:space="preserve">= Preço médio do diesel na pesquisa da ANP no período </w:t>
      </w:r>
      <w:r>
        <w:rPr>
          <w:rFonts w:cs="Times New Roman" w:ascii="Times New Roman" w:hAnsi="Times New Roman"/>
          <w:i/>
          <w:iCs/>
          <w:sz w:val="20"/>
          <w:szCs w:val="20"/>
        </w:rPr>
        <w:t>i</w:t>
      </w: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
      <m:oMath xmlns:m="http://schemas.openxmlformats.org/officeDocument/2006/math">
        <m:sSub>
          <m:e>
            <m:r>
              <w:rPr>
                <w:rFonts w:ascii="Cambria Math" w:hAnsi="Cambria Math"/>
              </w:rPr>
              <m:t xml:space="preserve">Pdiesel</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do diesel na pesquisa da ANP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 xml:space="preserve">Os Materiais de manutenção e operação são indexados pelo IGP-DI, justificado pela sensibilidade aos efeitos do câmbio, enquanto que Materiais de consumo e Outros materiais seguem a tendência da abordagem regulatória de indexação por IPCA. Nesta metodologia, alinhamos a indexação dos referidos materiais a tendência regulatória nacional. A formulação matemática 11 apresentou o método de cálculo da indexação pelo IGP-DI - </w:t>
      </w:r>
      <w:r>
        <w:rPr/>
      </w:r>
      <m:oMath xmlns:m="http://schemas.openxmlformats.org/officeDocument/2006/math">
        <m:r>
          <w:rPr>
            <w:rFonts w:ascii="Cambria Math" w:hAnsi="Cambria Math"/>
          </w:rPr>
          <m:t xml:space="preserve">IGPIndex</m:t>
        </m:r>
      </m:oMath>
      <w:r>
        <w:rPr>
          <w:rFonts w:cs="Times New Roman" w:ascii="Times New Roman" w:hAnsi="Times New Roman"/>
          <w:sz w:val="24"/>
          <w:szCs w:val="24"/>
        </w:rPr>
        <w:t xml:space="preserve"> e a notação 19 apresenta o método de cálculo do Índice de reajuste das despesas e custos indexados pelo IPCA - </w:t>
      </w:r>
      <w:r>
        <w:rPr/>
      </w:r>
      <m:oMath xmlns:m="http://schemas.openxmlformats.org/officeDocument/2006/math">
        <m:r>
          <w:rPr>
            <w:rFonts w:ascii="Cambria Math" w:hAnsi="Cambria Math"/>
          </w:rPr>
          <m:t xml:space="preserve">IPCAIndex</m:t>
        </m:r>
      </m:oMath>
      <w:r>
        <w:rPr>
          <w:rFonts w:cs="Times New Roman" w:ascii="Times New Roman" w:hAnsi="Times New Roman"/>
        </w:rPr>
        <w:t>.</w:t>
      </w:r>
    </w:p>
    <w:tbl>
      <w:tblPr>
        <w:tblW w:w="8820" w:type="dxa"/>
        <w:jc w:val="left"/>
        <w:tblInd w:w="-284" w:type="dxa"/>
        <w:tblCellMar>
          <w:top w:w="0" w:type="dxa"/>
          <w:left w:w="108" w:type="dxa"/>
          <w:bottom w:w="0" w:type="dxa"/>
          <w:right w:w="108" w:type="dxa"/>
        </w:tblCellMar>
        <w:tblLook w:firstRow="1" w:noVBand="1" w:lastRow="0" w:firstColumn="1" w:lastColumn="0" w:noHBand="0" w:val="04a0"/>
      </w:tblPr>
      <w:tblGrid>
        <w:gridCol w:w="7938"/>
        <w:gridCol w:w="881"/>
      </w:tblGrid>
      <w:tr>
        <w:trPr/>
        <w:tc>
          <w:tcPr>
            <w:tcW w:w="7938" w:type="dxa"/>
            <w:tcBorders/>
            <w:shd w:color="auto" w:fill="auto" w:val="clear"/>
          </w:tcPr>
          <w:p>
            <w:pPr>
              <w:pStyle w:val="Normal"/>
              <w:widowControl w:val="false"/>
              <w:spacing w:lineRule="auto" w:line="360" w:before="0" w:after="0"/>
              <w:ind w:hanging="108"/>
              <w:jc w:val="center"/>
              <w:rPr/>
            </w:pPr>
            <w:r>
              <w:rPr/>
            </w:r>
            <m:oMath xmlns:m="http://schemas.openxmlformats.org/officeDocument/2006/math">
              <m:r>
                <w:rPr>
                  <w:rFonts w:ascii="Cambria Math" w:hAnsi="Cambria Math"/>
                </w:rPr>
                <m:t xml:space="preserve">IPCAIndex</m:t>
              </m:r>
              <m:r>
                <w:rPr>
                  <w:rFonts w:ascii="Cambria Math" w:hAnsi="Cambria Math"/>
                </w:rPr>
                <m:t xml:space="preserve">=</m:t>
              </m:r>
              <m:d>
                <m:dPr>
                  <m:begChr m:val="["/>
                  <m:endChr m:val="]"/>
                </m:dPr>
                <m:e>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%IPCA</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r>
                            <w:rPr>
                              <w:rFonts w:ascii="Cambria Math" w:hAnsi="Cambria Math"/>
                            </w:rPr>
                            <m:t xml:space="preserve">100</m:t>
                          </m:r>
                        </m:den>
                      </m:f>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%IPCA</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r>
                            <w:rPr>
                              <w:rFonts w:ascii="Cambria Math" w:hAnsi="Cambria Math"/>
                            </w:rPr>
                            <m:t xml:space="preserve">100</m:t>
                          </m:r>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%IPCA</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r>
                            <w:rPr>
                              <w:rFonts w:ascii="Cambria Math" w:hAnsi="Cambria Math"/>
                            </w:rPr>
                            <m:t xml:space="preserve">100</m:t>
                          </m:r>
                        </m:den>
                      </m:f>
                    </m:e>
                  </m:d>
                </m:e>
              </m:d>
            </m:oMath>
          </w:p>
        </w:tc>
        <w:tc>
          <w:tcPr>
            <w:tcW w:w="88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(19)</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pPr>
      <w:r>
        <w:rPr/>
      </w:r>
      <m:oMath xmlns:m="http://schemas.openxmlformats.org/officeDocument/2006/math">
        <m:sSub>
          <m:e>
            <m:r>
              <w:rPr>
                <w:rFonts w:ascii="Cambria Math" w:hAnsi="Cambria Math"/>
              </w:rPr>
              <m:t xml:space="preserve">%IPCA</m:t>
            </m:r>
          </m:e>
          <m:sub>
            <m:r>
              <w:rPr>
                <w:rFonts w:ascii="Cambria Math" w:hAnsi="Cambria Math"/>
              </w:rPr>
              <m:t xml:space="preserve">i</m:t>
            </m:r>
          </m:sub>
        </m:sSub>
      </m:oMath>
      <w:r>
        <w:rPr>
          <w:rFonts w:cs="Times New Roman" w:ascii="Times New Roman" w:hAnsi="Times New Roman"/>
          <w:sz w:val="20"/>
          <w:szCs w:val="20"/>
        </w:rPr>
        <w:t xml:space="preserve">= Percentual do IPCA no final do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AaaaaaaRapido"/>
        <w:tabs>
          <w:tab w:val="clear" w:pos="720"/>
          <w:tab w:val="left" w:pos="580" w:leader="none"/>
        </w:tabs>
        <w:rPr>
          <w:color w:val="auto"/>
        </w:rPr>
      </w:pPr>
      <w:r>
        <w:rPr>
          <w:color w:val="auto"/>
        </w:rPr>
        <w:t>Segundo o disposto no item 3, os valores para ponderação, referente às despesas e custos com materiais para o reajuste tarifário, serão os valores efetivamente realizados a contar da data base. As formulações matemáticas 20 a 24 representam os métodos de cálculos dos valores de cada subelemento deste componente tarifário.</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TQ</m:t>
              </m:r>
              <m:r>
                <w:rPr>
                  <w:rFonts w:ascii="Cambria Math" w:hAnsi="Cambria Math"/>
                </w:rPr>
                <m:t xml:space="preserve">uímico</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Químico</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TComb</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Comb</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TCons</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Cons</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(22)</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TMop</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Mop</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(23)</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TOutM</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OutM</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(24)</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TQuímico</m:t>
        </m:r>
      </m:oMath>
      <w:r>
        <w:rPr>
          <w:rFonts w:cs="Times New Roman" w:ascii="Times New Roman" w:hAnsi="Times New Roman"/>
          <w:sz w:val="20"/>
          <w:szCs w:val="20"/>
        </w:rPr>
        <w:t>=Valor total das despesas e custos com materiais de tratamento e químicos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TComb</m:t>
        </m:r>
      </m:oMath>
      <w:r>
        <w:rPr>
          <w:rFonts w:cs="Times New Roman" w:ascii="Times New Roman" w:hAnsi="Times New Roman"/>
          <w:sz w:val="20"/>
          <w:szCs w:val="20"/>
        </w:rPr>
        <w:t>= Valor total das despesas e custos com combustíveis e lubrificantes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TCons</m:t>
        </m:r>
      </m:oMath>
      <w:r>
        <w:rPr>
          <w:rFonts w:cs="Times New Roman" w:ascii="Times New Roman" w:hAnsi="Times New Roman"/>
          <w:sz w:val="20"/>
          <w:szCs w:val="20"/>
        </w:rPr>
        <w:t>= Valor total das despesas e custos com materiais de consumo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TMop</m:t>
        </m:r>
      </m:oMath>
      <w:r>
        <w:rPr>
          <w:rFonts w:cs="Times New Roman" w:ascii="Times New Roman" w:hAnsi="Times New Roman"/>
          <w:sz w:val="20"/>
          <w:szCs w:val="20"/>
        </w:rPr>
        <w:t>= Valor total das despesas e custos com materiais de manutenção e operação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TOutM</m:t>
        </m:r>
      </m:oMath>
      <w:r>
        <w:rPr>
          <w:rFonts w:cs="Times New Roman" w:ascii="Times New Roman" w:hAnsi="Times New Roman"/>
          <w:sz w:val="20"/>
          <w:szCs w:val="20"/>
        </w:rPr>
        <w:t>= Valor total das despesas e custos com outros materiais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Químico</m:t>
            </m:r>
          </m:e>
          <m:sub>
            <m:r>
              <w:rPr>
                <w:rFonts w:ascii="Cambria Math" w:hAnsi="Cambria Math"/>
              </w:rPr>
              <m:t xml:space="preserve">i</m:t>
            </m:r>
          </m:sub>
        </m:sSub>
      </m:oMath>
      <w:r>
        <w:rPr>
          <w:rFonts w:cs="Times New Roman" w:ascii="Times New Roman" w:hAnsi="Times New Roman"/>
          <w:sz w:val="20"/>
          <w:szCs w:val="20"/>
        </w:rPr>
        <w:t xml:space="preserve">=Valor total das despesas e custos com materiais de tratamento e químicos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sSub>
          <m:e>
            <m:r>
              <w:rPr>
                <w:rFonts w:ascii="Cambria Math" w:hAnsi="Cambria Math"/>
              </w:rPr>
              <m:t xml:space="preserve">Comb</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combustíveis e lubrificantes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sSub>
          <m:e>
            <m:r>
              <w:rPr>
                <w:rFonts w:ascii="Cambria Math" w:hAnsi="Cambria Math"/>
              </w:rPr>
              <m:t xml:space="preserve">Cons</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materiais de consumo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sSub>
          <m:e>
            <m:r>
              <w:rPr>
                <w:rFonts w:ascii="Cambria Math" w:hAnsi="Cambria Math"/>
              </w:rPr>
              <m:t xml:space="preserve">Mop</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materiais de manutenção e operação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sSub>
          <m:e>
            <m:r>
              <w:rPr>
                <w:rFonts w:ascii="Cambria Math" w:hAnsi="Cambria Math"/>
              </w:rPr>
              <m:t xml:space="preserve">OutM</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outros materiais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37"/>
        <w:jc w:val="both"/>
        <w:rPr>
          <w:rFonts w:ascii="Times New Roman" w:hAnsi="Times New Roman" w:cs="Times New Roman"/>
          <w:sz w:val="24"/>
          <w:szCs w:val="24"/>
        </w:rPr>
      </w:pPr>
      <w:r>
        <w:rPr>
          <w:rFonts w:cs="Times New Roman" w:ascii="Times New Roman" w:hAnsi="Times New Roman"/>
          <w:sz w:val="24"/>
          <w:szCs w:val="24"/>
        </w:rPr>
        <w:t xml:space="preserve">As notações matemáticas 25 e 26 representam os cálculos dos valores de referência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 xml:space="preserve"> para as despesas e custos com materiais.</w:t>
      </w:r>
    </w:p>
    <w:p>
      <w:pPr>
        <w:pStyle w:val="Normal"/>
        <w:spacing w:lineRule="auto" w:line="360" w:before="0" w:after="0"/>
        <w:ind w:firstLine="737"/>
        <w:jc w:val="both"/>
        <w:rPr/>
      </w:pPr>
      <w:r>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TQuímico</m:t>
              </m:r>
              <m:r>
                <w:rPr>
                  <w:rFonts w:ascii="Cambria Math" w:hAnsi="Cambria Math"/>
                </w:rPr>
                <m:t xml:space="preserve">+</m:t>
              </m:r>
              <m:r>
                <w:rPr>
                  <w:rFonts w:ascii="Cambria Math" w:hAnsi="Cambria Math"/>
                </w:rPr>
                <m:t xml:space="preserve">TComb</m:t>
              </m:r>
              <m:r>
                <w:rPr>
                  <w:rFonts w:ascii="Cambria Math" w:hAnsi="Cambria Math"/>
                </w:rPr>
                <m:t xml:space="preserve">+</m:t>
              </m:r>
              <m:r>
                <w:rPr>
                  <w:rFonts w:ascii="Cambria Math" w:hAnsi="Cambria Math"/>
                </w:rPr>
                <m:t xml:space="preserve">TCons</m:t>
              </m:r>
              <m:r>
                <w:rPr>
                  <w:rFonts w:ascii="Cambria Math" w:hAnsi="Cambria Math"/>
                </w:rPr>
                <m:t xml:space="preserve">+</m:t>
              </m:r>
              <m:r>
                <w:rPr>
                  <w:rFonts w:ascii="Cambria Math" w:hAnsi="Cambria Math"/>
                </w:rPr>
                <m:t xml:space="preserve">TMop</m:t>
              </m:r>
              <m:r>
                <w:rPr>
                  <w:rFonts w:ascii="Cambria Math" w:hAnsi="Cambria Math"/>
                </w:rPr>
                <m:t xml:space="preserve">+</m:t>
              </m:r>
              <m:r>
                <w:rPr>
                  <w:rFonts w:ascii="Cambria Math" w:hAnsi="Cambria Math"/>
                </w:rPr>
                <m:t xml:space="preserve">TOutM</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(25)</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TQuímico</m:t>
                  </m:r>
                  <m:r>
                    <w:rPr>
                      <w:rFonts w:ascii="Cambria Math" w:hAnsi="Cambria Math"/>
                    </w:rPr>
                    <m:t xml:space="preserve">×</m:t>
                  </m:r>
                  <m:r>
                    <w:rPr>
                      <w:rFonts w:ascii="Cambria Math" w:hAnsi="Cambria Math"/>
                    </w:rPr>
                    <m:t xml:space="preserve">IGPIndex</m:t>
                  </m:r>
                </m:e>
              </m:d>
              <m:r>
                <w:rPr>
                  <w:rFonts w:ascii="Cambria Math" w:hAnsi="Cambria Math"/>
                </w:rPr>
                <m:t xml:space="preserve">+</m:t>
              </m:r>
              <m:d>
                <m:dPr>
                  <m:begChr m:val="("/>
                  <m:endChr m:val=")"/>
                </m:dPr>
                <m:e>
                  <m:r>
                    <w:rPr>
                      <w:rFonts w:ascii="Cambria Math" w:hAnsi="Cambria Math"/>
                    </w:rPr>
                    <m:t xml:space="preserve">TComb</m:t>
                  </m:r>
                  <m:r>
                    <w:rPr>
                      <w:rFonts w:ascii="Cambria Math" w:hAnsi="Cambria Math"/>
                    </w:rPr>
                    <m:t xml:space="preserve">×</m:t>
                  </m:r>
                  <m:r>
                    <w:rPr>
                      <w:rFonts w:ascii="Cambria Math" w:hAnsi="Cambria Math"/>
                    </w:rPr>
                    <m:t xml:space="preserve">CombIndex</m:t>
                  </m:r>
                </m:e>
              </m:d>
              <m:r>
                <w:rPr>
                  <w:rFonts w:ascii="Cambria Math" w:hAnsi="Cambria Math"/>
                </w:rPr>
                <m:t xml:space="preserve">+</m:t>
              </m:r>
              <m:d>
                <m:dPr>
                  <m:begChr m:val="("/>
                  <m:endChr m:val=")"/>
                </m:dPr>
                <m:e>
                  <m:r>
                    <w:rPr>
                      <w:rFonts w:ascii="Cambria Math" w:hAnsi="Cambria Math"/>
                    </w:rPr>
                    <m:t xml:space="preserve">TCons</m:t>
                  </m:r>
                  <m:r>
                    <w:rPr>
                      <w:rFonts w:ascii="Cambria Math" w:hAnsi="Cambria Math"/>
                    </w:rPr>
                    <m:t xml:space="preserve">×</m:t>
                  </m:r>
                  <m:r>
                    <w:rPr>
                      <w:rFonts w:ascii="Cambria Math" w:hAnsi="Cambria Math"/>
                    </w:rPr>
                    <m:t xml:space="preserve">IPCAIndex</m:t>
                  </m:r>
                </m:e>
              </m:d>
              <m:r>
                <w:rPr>
                  <w:rFonts w:ascii="Cambria Math" w:hAnsi="Cambria Math"/>
                </w:rPr>
                <m:t xml:space="preserve">+</m:t>
              </m:r>
              <m:d>
                <m:dPr>
                  <m:begChr m:val="("/>
                  <m:endChr m:val=")"/>
                </m:dPr>
                <m:e>
                  <m:r>
                    <w:rPr>
                      <w:rFonts w:ascii="Cambria Math" w:hAnsi="Cambria Math"/>
                    </w:rPr>
                    <m:t xml:space="preserve">TMop</m:t>
                  </m:r>
                  <m:r>
                    <w:rPr>
                      <w:rFonts w:ascii="Cambria Math" w:hAnsi="Cambria Math"/>
                    </w:rPr>
                    <m:t xml:space="preserve">×</m:t>
                  </m:r>
                  <m:r>
                    <w:rPr>
                      <w:rFonts w:ascii="Cambria Math" w:hAnsi="Cambria Math"/>
                    </w:rPr>
                    <m:t xml:space="preserve">IGPIndex</m:t>
                  </m:r>
                </m:e>
              </m:d>
              <m:r>
                <w:rPr>
                  <w:rFonts w:ascii="Cambria Math" w:hAnsi="Cambria Math"/>
                </w:rPr>
                <m:t xml:space="preserve">+</m:t>
              </m:r>
              <m:d>
                <m:dPr>
                  <m:begChr m:val="("/>
                  <m:endChr m:val=")"/>
                </m:dPr>
                <m:e>
                  <m:r>
                    <w:rPr>
                      <w:rFonts w:ascii="Cambria Math" w:hAnsi="Cambria Math"/>
                    </w:rPr>
                    <m:t xml:space="preserve">TOutM</m:t>
                  </m:r>
                  <m:r>
                    <w:rPr>
                      <w:rFonts w:ascii="Cambria Math" w:hAnsi="Cambria Math"/>
                    </w:rPr>
                    <m:t xml:space="preserve">×</m:t>
                  </m:r>
                  <m:r>
                    <w:rPr>
                      <w:rFonts w:ascii="Cambria Math" w:hAnsi="Cambria Math"/>
                    </w:rPr>
                    <m:t xml:space="preserve">IPCAIndex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(26)</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materiais realizados de </w:t>
      </w:r>
      <w:r>
        <w:rPr>
          <w:i/>
          <w:color w:val="auto"/>
          <w:sz w:val="20"/>
          <w:szCs w:val="20"/>
        </w:rPr>
        <w:t>1;..;n</w:t>
      </w:r>
      <w:r>
        <w:rPr>
          <w:color w:val="auto"/>
          <w:sz w:val="20"/>
          <w:szCs w:val="20"/>
        </w:rPr>
        <w:t xml:space="preserve"> a valores históricos;</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TMAT</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materiais realizados de </w:t>
      </w:r>
      <w:r>
        <w:rPr>
          <w:i/>
          <w:color w:val="auto"/>
          <w:sz w:val="20"/>
          <w:szCs w:val="20"/>
        </w:rPr>
        <w:t>1;..;n</w:t>
      </w:r>
      <w:r>
        <w:rPr>
          <w:color w:val="auto"/>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TQuímico</m:t>
        </m:r>
      </m:oMath>
      <w:r>
        <w:rPr>
          <w:rFonts w:cs="Times New Roman" w:ascii="Times New Roman" w:hAnsi="Times New Roman"/>
          <w:sz w:val="20"/>
          <w:szCs w:val="20"/>
        </w:rPr>
        <w:t>=Valor total das despesas e custos com materiais de tratamento e químicos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TComb</m:t>
        </m:r>
      </m:oMath>
      <w:r>
        <w:rPr>
          <w:rFonts w:cs="Times New Roman" w:ascii="Times New Roman" w:hAnsi="Times New Roman"/>
          <w:sz w:val="20"/>
          <w:szCs w:val="20"/>
        </w:rPr>
        <w:t>= Valor total das despesas e custos com combustíveis e lubrificantes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TCons</m:t>
        </m:r>
      </m:oMath>
      <w:r>
        <w:rPr>
          <w:rFonts w:cs="Times New Roman" w:ascii="Times New Roman" w:hAnsi="Times New Roman"/>
          <w:sz w:val="20"/>
          <w:szCs w:val="20"/>
        </w:rPr>
        <w:t>= Valor total das despesas e custos com materiais de consumo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TMop</m:t>
        </m:r>
      </m:oMath>
      <w:r>
        <w:rPr>
          <w:rFonts w:cs="Times New Roman" w:ascii="Times New Roman" w:hAnsi="Times New Roman"/>
          <w:sz w:val="20"/>
          <w:szCs w:val="20"/>
        </w:rPr>
        <w:t>= Valor total das despesas e custos com materiais de manutenção e operação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TOutM</m:t>
        </m:r>
      </m:oMath>
      <w:r>
        <w:rPr>
          <w:rFonts w:cs="Times New Roman" w:ascii="Times New Roman" w:hAnsi="Times New Roman"/>
          <w:sz w:val="20"/>
          <w:szCs w:val="20"/>
        </w:rPr>
        <w:t>= Valor total das despesas e custos com outros materiais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IGPIndex</m:t>
        </m:r>
      </m:oMath>
      <w:r>
        <w:rPr>
          <w:rFonts w:cs="Times New Roman" w:ascii="Times New Roman" w:hAnsi="Times New Roman"/>
          <w:sz w:val="20"/>
          <w:szCs w:val="20"/>
        </w:rPr>
        <w:t>= Índice de reajuste das despesas e custos indexados pelo IGP-DI;</w:t>
      </w:r>
    </w:p>
    <w:p>
      <w:pPr>
        <w:pStyle w:val="Normal"/>
        <w:spacing w:lineRule="auto" w:line="240" w:before="0" w:after="0"/>
        <w:jc w:val="both"/>
        <w:rPr/>
      </w:pPr>
      <w:r>
        <w:rPr/>
      </w:r>
      <m:oMath xmlns:m="http://schemas.openxmlformats.org/officeDocument/2006/math">
        <m:r>
          <w:rPr>
            <w:rFonts w:ascii="Cambria Math" w:hAnsi="Cambria Math"/>
          </w:rPr>
          <m:t xml:space="preserve">CombIndex</m:t>
        </m:r>
      </m:oMath>
      <w:r>
        <w:rPr>
          <w:rFonts w:cs="Times New Roman" w:ascii="Times New Roman" w:hAnsi="Times New Roman"/>
          <w:sz w:val="20"/>
          <w:szCs w:val="20"/>
        </w:rPr>
        <w:t>= Índice de reajuste das despesas e custos com combustíveis e lubrificantes automotivos;</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Ttulo11"/>
        <w:numPr>
          <w:ilvl w:val="0"/>
          <w:numId w:val="0"/>
        </w:numPr>
        <w:ind w:left="432" w:hanging="432"/>
        <w:rPr/>
      </w:pPr>
      <w:bookmarkStart w:id="24" w:name="_Toc109911960"/>
      <w:bookmarkStart w:id="25" w:name="_Toc118711711"/>
      <w:r>
        <w:rPr/>
        <w:t>3.1.3 Despesas e custos com energia elétrica</w:t>
      </w:r>
      <w:bookmarkEnd w:id="24"/>
      <w:bookmarkEnd w:id="25"/>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Sobre as despesas e custos com energia elétrica, a Nota Técnica 001/2018 – ARSBAN enfatiza a importância do referido insumo produtivo no setor e a necessidade de tratamento separado desse serviço prestado por terceiro, devendo ser segregado nas duas naturezas de consumo:</w:t>
      </w:r>
      <w:r>
        <w:rPr>
          <w:rFonts w:cs="Times New Roman" w:ascii="Times New Roman" w:hAnsi="Times New Roman"/>
          <w:i/>
          <w:sz w:val="24"/>
          <w:szCs w:val="24"/>
        </w:rPr>
        <w:t>“1º) Para funcionamento dos equipamentos necessários para prestação dos serviços por parte da concessionária (ex: energia consumida nas bombas); 2ª) Para o desenvolvimento de atividades de gestão e apoio (ex: eletricidade consumida no prédio da administração central)</w:t>
      </w:r>
      <w:r>
        <w:rPr>
          <w:rFonts w:cs="Times New Roman" w:ascii="Times New Roman" w:hAnsi="Times New Roman"/>
          <w:sz w:val="24"/>
          <w:szCs w:val="24"/>
        </w:rPr>
        <w:t>”.</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Essa segregação é importante, pois arranjos contratuais e energia cobrada em prédios administrativos poderão sofrer variações dos preços por kWh de forma diferente, o que poderia proporcionar vieses nos valores corrigidos. Também é necessário segregar os kWh e valores por tipos de serviço prestados de</w:t>
      </w:r>
      <w:r>
        <w:rPr>
          <w:rFonts w:cs="Times New Roman" w:ascii="Times New Roman" w:hAnsi="Times New Roman"/>
          <w:i/>
          <w:sz w:val="24"/>
          <w:szCs w:val="24"/>
        </w:rPr>
        <w:t xml:space="preserve"> </w:t>
      </w:r>
      <w:r>
        <w:rPr>
          <w:rFonts w:cs="Times New Roman" w:ascii="Times New Roman" w:hAnsi="Times New Roman"/>
          <w:sz w:val="24"/>
          <w:szCs w:val="24"/>
        </w:rPr>
        <w:t>abastecimento de água e de esgotamento sanitário, pois análises dos dados históricos revelaram comportamentos diferentes ao longo do tempo, em termos de preços e suas respectivas variações.</w:t>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ind w:firstLine="708"/>
        <w:jc w:val="both"/>
        <w:rPr/>
      </w:pPr>
      <w:r>
        <w:rPr>
          <w:rFonts w:cs="Times New Roman" w:ascii="Times New Roman" w:hAnsi="Times New Roman"/>
          <w:sz w:val="24"/>
          <w:szCs w:val="24"/>
        </w:rPr>
        <w:t>Sobre o reconhecimento regulatório, a referida nota técnica ainda adota as premissas de não reconhecer os gastos com energia elétrica em estruturas ociosas (eventuais estruturas inoperantes de forma provisória ou fora de funcionamento por decorrência do tempo entre a solicitação de desligamento da unidade e a respectiva efetivação serão elegíveis, desde que o período de ociosidade não ultrapasse 3 meses).</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Na análise do pleito referente ao 4º ciclo tarifário foi possível constar avanços da concessionária na busca da eficiência de preços do referido insumo produtivo, iniciando o processo de aquisições no mercado livre de energia. Neste sentido, a metodologia busca captar os efeitos dessa transição, também segregando as diferentes fontes de compra de energia elétrica por: 1ª) Mercado cativo – energia comprada da concessionária de distribuição ao qual está ligada; neste mercado cada unidade consumidora deve pagar uma fatura para concessionária local; e 2ª) Mercado livre – energia comprada diretamente dos geradores ou comercializadores, por meio de contratos com agentes da Câmara de Comercialização de Energia Elétrica – CCEE; sendo assim, cada unidade consumidora deve pagar uma fatura para a concessionária local, pelos serviços de distribuição e fatura(as) referente(s) à compra da energia via contrato de aquisição no mercado livre de energia.</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Sobre a energia adquirida via mercado livre, também são elegíveis e, consequentemente adicionados aos custos e despesas unitárias por kWh, os montantes mensais reconhecidos para pagamento perante CCEE (mais previsível) e encargos de serviço do sistema (menos previsível por ser multicritério). Neste sentido, deverão ser reconhecidas as três parcelas indissociáveis ao custo de operação no Mercado Livre de Energia: 1ª) contrato bilateral (fatura da unidade consumidora); 2ª) Boleto contribuição associativa CCEE; e, 3ª) Encargos de Serviço do Sistema.</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Neste componente, somente são consideradas os valores faturados pela concessionária local e pelos agentes da CCEE no intervalo de tempo em avaliação, reconhecendo o abatimento dos devidos créditos tributários. As formulações matemáticas 27 a 32 descrevem os cálculos dos valores totais faturados com energia elétrica para o intervalo de tempo em análise e já descontado dos créditos tributários.</w:t>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W w:w="8644"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79"/>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TEnePAMC</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EnePAMC</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(27)</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TEnePEMC</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EnePEMC</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(28)</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TEnePAML</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EnePAML</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(29)</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TEnePEML</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EnePEML</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(30)</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TEneAMC</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EneAMC</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TEneAML</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EneAML</m:t>
                      </m:r>
                    </m:e>
                    <m:sub>
                      <m:r>
                        <w:rPr>
                          <w:rFonts w:ascii="Cambria Math" w:hAnsi="Cambria Math"/>
                        </w:rPr>
                        <m:t xml:space="preserve">i</m:t>
                      </m:r>
                    </m:sub>
                  </m:sSub>
                </m:e>
              </m:nary>
            </m:oMath>
          </w:p>
        </w:tc>
        <w:tc>
          <w:tcPr>
            <w:tcW w:w="879"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(32)</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TEnePAMC</m:t>
        </m:r>
      </m:oMath>
      <w:r>
        <w:rPr>
          <w:rFonts w:cs="Times New Roman" w:ascii="Times New Roman" w:hAnsi="Times New Roman"/>
          <w:sz w:val="20"/>
          <w:szCs w:val="20"/>
        </w:rPr>
        <w:t>= Valor total das despesas e custos com energia elétrica na prestação do serviço (ambiente produtivo) de abastecimento de água no intervalo de tempo em análise (deduzidos os créditos tributários),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sSub>
          <m:e>
            <m:r>
              <w:rPr>
                <w:rFonts w:ascii="Cambria Math" w:hAnsi="Cambria Math"/>
              </w:rPr>
              <m:t xml:space="preserve">EnePAMC</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 prestação do serviço (ambiente produtivo) de abastecimento de água, proveniente do mercado cativo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TEnePEMC</m:t>
        </m:r>
      </m:oMath>
      <w:r>
        <w:rPr>
          <w:rFonts w:cs="Times New Roman" w:ascii="Times New Roman" w:hAnsi="Times New Roman"/>
          <w:sz w:val="20"/>
          <w:szCs w:val="20"/>
        </w:rPr>
        <w:t>= Valor total das despesas e custos com energia elétrica na prestação do serviço (ambiente produtivo) de esgotamento sanitário no intervalo de tempo em análise (deduzidos os créditos tributários),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sSub>
          <m:e>
            <m:r>
              <w:rPr>
                <w:rFonts w:ascii="Cambria Math" w:hAnsi="Cambria Math"/>
              </w:rPr>
              <m:t xml:space="preserve">EnePEMC</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 prestação do serviço (ambiente produtivo) de esgotamento sanitário, proveniente do mercado cativo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TEnePAML</m:t>
        </m:r>
      </m:oMath>
      <w:r>
        <w:rPr>
          <w:rFonts w:cs="Times New Roman" w:ascii="Times New Roman" w:hAnsi="Times New Roman"/>
          <w:sz w:val="20"/>
          <w:szCs w:val="20"/>
        </w:rPr>
        <w:t>= Valor total das despesas e custos com energia elétrica na prestação do serviço (ambiente produtivo) de abastecimento de água no intervalo de tempo em análise (deduzidos os créditos tributários), proveniente do mercado livre;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sSub>
          <m:e>
            <m:r>
              <w:rPr>
                <w:rFonts w:ascii="Cambria Math" w:hAnsi="Cambria Math"/>
              </w:rPr>
              <m:t xml:space="preserve">EnePAML</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 prestação do serviço (ambiente produtivo) de abastecimento de água, proveniente do mercado livre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TEnePEML</m:t>
        </m:r>
      </m:oMath>
      <w:r>
        <w:rPr>
          <w:rFonts w:cs="Times New Roman" w:ascii="Times New Roman" w:hAnsi="Times New Roman"/>
          <w:sz w:val="20"/>
          <w:szCs w:val="20"/>
        </w:rPr>
        <w:t>= Valor total das despesas e custos com energia elétrica na prestação do serviço (ambiente produtivo) de esgotamento sanitário no intervalo de tempo em análise (deduzidos os créditos tributários), proveniente do mercado livre;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sSub>
          <m:e>
            <m:r>
              <w:rPr>
                <w:rFonts w:ascii="Cambria Math" w:hAnsi="Cambria Math"/>
              </w:rPr>
              <m:t xml:space="preserve">EnePEML</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 prestação do serviço (ambiente produtivo) de esgotamento sanitário, proveniente do mercado livre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TEneAMC</m:t>
        </m:r>
      </m:oMath>
      <w:r>
        <w:rPr>
          <w:rFonts w:cs="Times New Roman" w:ascii="Times New Roman" w:hAnsi="Times New Roman"/>
          <w:sz w:val="20"/>
          <w:szCs w:val="20"/>
        </w:rPr>
        <w:t>= Valor total das despesas com energia elétrica nas atividades de gestão e apoio (ambiente administrativo) no intervalo de tempo em análise (deduzidos os créditos tributários),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EneAMC</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nas atividades de gestão e apoio (ambiente administrativo), proveniente do mercado cativo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TEneAML</m:t>
        </m:r>
      </m:oMath>
      <w:r>
        <w:rPr>
          <w:rFonts w:cs="Times New Roman" w:ascii="Times New Roman" w:hAnsi="Times New Roman"/>
          <w:sz w:val="20"/>
          <w:szCs w:val="20"/>
        </w:rPr>
        <w:t>= Valor total das despesas com energia elétrica nas atividades de gestão e apoio (ambiente administrativo) no intervalo de tempo em análise (deduzidos os créditos tributários),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EneAML</m:t>
            </m:r>
          </m:e>
          <m:sub>
            <m:r>
              <w:rPr>
                <w:rFonts w:ascii="Cambria Math" w:hAnsi="Cambria Math"/>
              </w:rPr>
              <m:t xml:space="preserve">i</m:t>
            </m:r>
          </m:sub>
        </m:sSub>
      </m:oMath>
      <w:r>
        <w:rPr>
          <w:rFonts w:cs="Times New Roman" w:ascii="Times New Roman" w:hAnsi="Times New Roman"/>
          <w:sz w:val="20"/>
          <w:szCs w:val="20"/>
        </w:rPr>
        <w:t xml:space="preserve">= Valor total faturado com energia elétrica (deduzidos os créditos tributários) nas atividades de gestão e apoio (ambiente administrativo), proveniente do mercado livre no mês </w:t>
      </w:r>
      <w:r>
        <w:rPr/>
      </w:r>
      <m:oMath xmlns:m="http://schemas.openxmlformats.org/officeDocument/2006/math">
        <m:r>
          <w:rPr>
            <w:rFonts w:ascii="Cambria Math" w:hAnsi="Cambria Math"/>
          </w:rPr>
          <m:t xml:space="preserve">i</m:t>
        </m:r>
      </m:oMath>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O setor elétrico é regulado pela Agência Nacional de Energia Elétrica – ANEEL e possui a agenda de alterações tarifárias todo mês de maio de cada ano. Contudo, o fenômeno da bandeira tarifária, que proporciona alterações intermitentes nos preços cobrados pela energia elétrica adquirida no mercado cativo ao longo do ano e o processo de migração para o mercado livre inviabilizam a aplicação da indexação pelo percentual de alteração tarifária, publicado pela ANEEL para a concessionária local, como vinha sendo realizado em pleitos de reajustes anteriores.</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Para o cálculo dos índices de reajustes das despesas e custos com energia elétrica, relativos aos seis segmentos evidenciados nas notações matemáticas 33 a 50, somente deverão ser considerados os contratos relativos às unidades consumidoras com vigência coberta ao longo de todo o período em análise ou que a vigência tenha sido rompida por processo de migração para o mercado livre.</w:t>
      </w:r>
    </w:p>
    <w:p>
      <w:pPr>
        <w:pStyle w:val="Normal"/>
        <w:spacing w:lineRule="auto" w:line="360" w:before="0" w:after="0"/>
        <w:ind w:firstLine="708"/>
        <w:jc w:val="both"/>
        <w:rPr/>
      </w:pPr>
      <w:r>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8013"/>
        <w:gridCol w:w="631"/>
      </w:tblGrid>
      <w:tr>
        <w:trPr>
          <w:trHeight w:val="283" w:hRule="exact"/>
        </w:trPr>
        <w:tc>
          <w:tcPr>
            <w:tcW w:w="8013" w:type="dxa"/>
            <w:tcBorders/>
            <w:shd w:color="auto" w:fill="auto" w:val="clear"/>
          </w:tcPr>
          <w:p>
            <w:pPr>
              <w:pStyle w:val="Normal"/>
              <w:widowControl w:val="false"/>
              <w:spacing w:lineRule="auto" w:line="360" w:before="0" w:after="0"/>
              <w:jc w:val="center"/>
              <w:rPr>
                <w:rFonts w:ascii="Cambria Math" w:hAnsi="Cambria Math"/>
                <w:sz w:val="20"/>
                <w:szCs w:val="20"/>
              </w:rPr>
            </w:pPr>
            <w:r>
              <w:rPr/>
            </w:r>
            <m:oMath xmlns:m="http://schemas.openxmlformats.org/officeDocument/2006/math">
              <m:d>
                <m:dPr>
                  <m:begChr m:val="("/>
                  <m:endChr m:val=")"/>
                </m:dPr>
                <m:e>
                  <m:sSub>
                    <m:e>
                      <m:r>
                        <w:rPr>
                          <w:rFonts w:ascii="Cambria Math" w:hAnsi="Cambria Math"/>
                        </w:rPr>
                        <m:t xml:space="preserve">EnePAMCIndex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EnePAMCIndex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EnePAMCIndex</m:t>
                  </m:r>
                  <m:r>
                    <w:rPr>
                      <w:rFonts w:ascii="Cambria Math" w:hAnsi="Cambria Math"/>
                    </w:rPr>
                    <m:t xml:space="preserve">=</m:t>
                  </m:r>
                  <m:sSub>
                    <m:e>
                      <m:r>
                        <w:rPr>
                          <w:rFonts w:ascii="Cambria Math" w:hAnsi="Cambria Math"/>
                        </w:rPr>
                        <m:t xml:space="preserve">EnePAMCIndex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(33)</w:t>
            </w:r>
          </w:p>
        </w:tc>
      </w:tr>
      <w:tr>
        <w:trPr/>
        <w:tc>
          <w:tcPr>
            <w:tcW w:w="8013" w:type="dxa"/>
            <w:tcBorders/>
            <w:shd w:color="auto" w:fill="auto" w:val="clear"/>
          </w:tcPr>
          <w:p>
            <w:pPr>
              <w:pStyle w:val="Normal"/>
              <w:widowControl w:val="false"/>
              <w:spacing w:lineRule="auto" w:line="360" w:before="0" w:after="0"/>
              <w:jc w:val="center"/>
              <w:rPr>
                <w:rFonts w:ascii="Cambria Math" w:hAnsi="Cambria Math"/>
                <w:sz w:val="20"/>
                <w:szCs w:val="20"/>
              </w:rPr>
            </w:pPr>
            <w:r>
              <w:rPr/>
            </w:r>
            <m:oMath xmlns:m="http://schemas.openxmlformats.org/officeDocument/2006/math">
              <m:d>
                <m:dPr>
                  <m:begChr m:val="("/>
                  <m:endChr m:val=")"/>
                </m:dPr>
                <m:e>
                  <m:sSub>
                    <m:e>
                      <m:r>
                        <w:rPr>
                          <w:rFonts w:ascii="Cambria Math" w:hAnsi="Cambria Math"/>
                        </w:rPr>
                        <m:t xml:space="preserve">EnePAMCIndex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EnePAMCIndex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EnePAMCIndex</m:t>
                  </m:r>
                  <m:r>
                    <w:rPr>
                      <w:rFonts w:ascii="Cambria Math" w:hAnsi="Cambria Math"/>
                    </w:rPr>
                    <m:t xml:space="preserve">=</m:t>
                  </m:r>
                  <m:sSub>
                    <m:e>
                      <m:r>
                        <w:rPr>
                          <w:rFonts w:ascii="Cambria Math" w:hAnsi="Cambria Math"/>
                        </w:rPr>
                        <m:t xml:space="preserve">EnePAMCIndex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84" w:hRule="exact"/>
        </w:trPr>
        <w:tc>
          <w:tcPr>
            <w:tcW w:w="8013" w:type="dxa"/>
            <w:tcBorders/>
            <w:shd w:color="auto" w:fill="auto" w:val="clear"/>
          </w:tcPr>
          <w:p>
            <w:pPr>
              <w:pStyle w:val="Normal"/>
              <w:widowControl w:val="false"/>
              <w:spacing w:lineRule="auto" w:line="360" w:before="0" w:after="0"/>
              <w:jc w:val="center"/>
              <w:rPr>
                <w:rFonts w:ascii="Times New Roman" w:hAnsi="Times New Roman" w:cs="Times New Roman"/>
                <w:sz w:val="20"/>
                <w:szCs w:val="20"/>
              </w:rPr>
            </w:pPr>
            <w:r>
              <w:rPr/>
            </w:r>
            <m:oMath xmlns:m="http://schemas.openxmlformats.org/officeDocument/2006/math">
              <m:d>
                <m:dPr>
                  <m:begChr m:val="("/>
                  <m:endChr m:val=")"/>
                </m:dPr>
                <m:e>
                  <m:sSub>
                    <m:e>
                      <m:r>
                        <w:rPr>
                          <w:rFonts w:ascii="Cambria Math" w:hAnsi="Cambria Math"/>
                        </w:rPr>
                        <m:t xml:space="preserve">EnePEMCIndex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EnePEMCIndex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EnePEMCIndex</m:t>
                  </m:r>
                  <m:r>
                    <w:rPr>
                      <w:rFonts w:ascii="Cambria Math" w:hAnsi="Cambria Math"/>
                    </w:rPr>
                    <m:t xml:space="preserve">=</m:t>
                  </m:r>
                  <m:sSub>
                    <m:e>
                      <m:r>
                        <w:rPr>
                          <w:rFonts w:ascii="Cambria Math" w:hAnsi="Cambria Math"/>
                        </w:rPr>
                        <m:t xml:space="preserve">EnePEMCIndex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(34)</w:t>
            </w:r>
          </w:p>
        </w:tc>
      </w:tr>
      <w:tr>
        <w:trPr/>
        <w:tc>
          <w:tcPr>
            <w:tcW w:w="8013" w:type="dxa"/>
            <w:tcBorders/>
            <w:shd w:color="auto" w:fill="auto" w:val="clear"/>
          </w:tcPr>
          <w:p>
            <w:pPr>
              <w:pStyle w:val="Normal"/>
              <w:widowControl w:val="false"/>
              <w:spacing w:lineRule="auto" w:line="360" w:before="0" w:after="0"/>
              <w:jc w:val="center"/>
              <w:rPr>
                <w:rFonts w:ascii="Times New Roman" w:hAnsi="Times New Roman" w:cs="Times New Roman"/>
                <w:sz w:val="20"/>
                <w:szCs w:val="20"/>
              </w:rPr>
            </w:pPr>
            <w:r>
              <w:rPr/>
            </w:r>
            <m:oMath xmlns:m="http://schemas.openxmlformats.org/officeDocument/2006/math">
              <m:d>
                <m:dPr>
                  <m:begChr m:val="("/>
                  <m:endChr m:val=")"/>
                </m:dPr>
                <m:e>
                  <m:sSub>
                    <m:e>
                      <m:r>
                        <w:rPr>
                          <w:rFonts w:ascii="Cambria Math" w:hAnsi="Cambria Math"/>
                        </w:rPr>
                        <m:t xml:space="preserve">EnePEMCIndex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EnePEMCIndex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EnePEMCIndex</m:t>
                  </m:r>
                  <m:r>
                    <w:rPr>
                      <w:rFonts w:ascii="Cambria Math" w:hAnsi="Cambria Math"/>
                    </w:rPr>
                    <m:t xml:space="preserve">=</m:t>
                  </m:r>
                  <m:sSub>
                    <m:e>
                      <m:r>
                        <w:rPr>
                          <w:rFonts w:ascii="Cambria Math" w:hAnsi="Cambria Math"/>
                        </w:rPr>
                        <m:t xml:space="preserve">EnePEMCIndex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84" w:hRule="exact"/>
        </w:trPr>
        <w:tc>
          <w:tcPr>
            <w:tcW w:w="8013" w:type="dxa"/>
            <w:tcBorders/>
            <w:shd w:color="auto" w:fill="auto" w:val="clear"/>
          </w:tcPr>
          <w:p>
            <w:pPr>
              <w:pStyle w:val="Normal"/>
              <w:widowControl w:val="false"/>
              <w:spacing w:lineRule="auto" w:line="360" w:before="0" w:after="0"/>
              <w:jc w:val="center"/>
              <w:rPr>
                <w:rFonts w:ascii="Cambria Math" w:hAnsi="Cambria Math"/>
                <w:sz w:val="20"/>
                <w:szCs w:val="20"/>
              </w:rPr>
            </w:pPr>
            <w:r>
              <w:rPr/>
            </w:r>
            <m:oMath xmlns:m="http://schemas.openxmlformats.org/officeDocument/2006/math">
              <m:d>
                <m:dPr>
                  <m:begChr m:val="("/>
                  <m:endChr m:val=")"/>
                </m:dPr>
                <m:e>
                  <m:sSub>
                    <m:e>
                      <m:r>
                        <w:rPr>
                          <w:rFonts w:ascii="Cambria Math" w:hAnsi="Cambria Math"/>
                        </w:rPr>
                        <m:t xml:space="preserve">EnePAMLIndex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EnePAMLIndex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EnePAMLIndex</m:t>
                  </m:r>
                  <m:r>
                    <w:rPr>
                      <w:rFonts w:ascii="Cambria Math" w:hAnsi="Cambria Math"/>
                    </w:rPr>
                    <m:t xml:space="preserve">=</m:t>
                  </m:r>
                  <m:sSub>
                    <m:e>
                      <m:r>
                        <w:rPr>
                          <w:rFonts w:ascii="Cambria Math" w:hAnsi="Cambria Math"/>
                        </w:rPr>
                        <m:t xml:space="preserve">EnePAMLIndex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(35)</w:t>
            </w:r>
          </w:p>
        </w:tc>
      </w:tr>
      <w:tr>
        <w:trPr/>
        <w:tc>
          <w:tcPr>
            <w:tcW w:w="8013" w:type="dxa"/>
            <w:tcBorders/>
            <w:shd w:color="auto" w:fill="auto" w:val="clear"/>
          </w:tcPr>
          <w:p>
            <w:pPr>
              <w:pStyle w:val="Normal"/>
              <w:widowControl w:val="false"/>
              <w:spacing w:lineRule="auto" w:line="360" w:before="0" w:after="0"/>
              <w:jc w:val="center"/>
              <w:rPr>
                <w:rFonts w:ascii="Cambria Math" w:hAnsi="Cambria Math"/>
                <w:sz w:val="20"/>
                <w:szCs w:val="20"/>
              </w:rPr>
            </w:pPr>
            <w:r>
              <w:rPr/>
            </w:r>
            <m:oMath xmlns:m="http://schemas.openxmlformats.org/officeDocument/2006/math">
              <m:d>
                <m:dPr>
                  <m:begChr m:val="("/>
                  <m:endChr m:val=")"/>
                </m:dPr>
                <m:e>
                  <m:sSub>
                    <m:e>
                      <m:r>
                        <w:rPr>
                          <w:rFonts w:ascii="Cambria Math" w:hAnsi="Cambria Math"/>
                        </w:rPr>
                        <m:t xml:space="preserve">EnePAMLIndex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EnePAMLIndex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EnePAMLIndex</m:t>
                  </m:r>
                  <m:r>
                    <w:rPr>
                      <w:rFonts w:ascii="Cambria Math" w:hAnsi="Cambria Math"/>
                    </w:rPr>
                    <m:t xml:space="preserve">=</m:t>
                  </m:r>
                  <m:sSub>
                    <m:e>
                      <m:r>
                        <w:rPr>
                          <w:rFonts w:ascii="Cambria Math" w:hAnsi="Cambria Math"/>
                        </w:rPr>
                        <m:t xml:space="preserve">EnePAMCIndex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84" w:hRule="exact"/>
        </w:trPr>
        <w:tc>
          <w:tcPr>
            <w:tcW w:w="8013" w:type="dxa"/>
            <w:tcBorders/>
            <w:shd w:color="auto" w:fill="auto" w:val="clear"/>
          </w:tcPr>
          <w:p>
            <w:pPr>
              <w:pStyle w:val="Normal"/>
              <w:widowControl w:val="false"/>
              <w:spacing w:lineRule="auto" w:line="360" w:before="0" w:after="0"/>
              <w:jc w:val="center"/>
              <w:rPr>
                <w:rFonts w:ascii="Times New Roman" w:hAnsi="Times New Roman" w:cs="Times New Roman"/>
                <w:sz w:val="20"/>
                <w:szCs w:val="20"/>
              </w:rPr>
            </w:pPr>
            <w:r>
              <w:rPr/>
            </w:r>
            <m:oMath xmlns:m="http://schemas.openxmlformats.org/officeDocument/2006/math">
              <m:d>
                <m:dPr>
                  <m:begChr m:val="("/>
                  <m:endChr m:val=")"/>
                </m:dPr>
                <m:e>
                  <m:sSub>
                    <m:e>
                      <m:r>
                        <w:rPr>
                          <w:rFonts w:ascii="Cambria Math" w:hAnsi="Cambria Math"/>
                        </w:rPr>
                        <m:t xml:space="preserve">EnePEMLIndex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EnePEMLIndex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EnePEMLIndex</m:t>
                  </m:r>
                  <m:r>
                    <w:rPr>
                      <w:rFonts w:ascii="Cambria Math" w:hAnsi="Cambria Math"/>
                    </w:rPr>
                    <m:t xml:space="preserve">=</m:t>
                  </m:r>
                  <m:sSub>
                    <m:e>
                      <m:r>
                        <w:rPr>
                          <w:rFonts w:ascii="Cambria Math" w:hAnsi="Cambria Math"/>
                        </w:rPr>
                        <m:t xml:space="preserve">EnePEMLIndex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(36)</w:t>
            </w:r>
          </w:p>
        </w:tc>
      </w:tr>
      <w:tr>
        <w:trPr/>
        <w:tc>
          <w:tcPr>
            <w:tcW w:w="8013" w:type="dxa"/>
            <w:tcBorders/>
            <w:shd w:color="auto" w:fill="auto" w:val="clear"/>
          </w:tcPr>
          <w:p>
            <w:pPr>
              <w:pStyle w:val="Normal"/>
              <w:widowControl w:val="false"/>
              <w:spacing w:lineRule="auto" w:line="360" w:before="0" w:after="0"/>
              <w:jc w:val="center"/>
              <w:rPr>
                <w:rFonts w:ascii="Times New Roman" w:hAnsi="Times New Roman" w:cs="Times New Roman"/>
                <w:sz w:val="20"/>
                <w:szCs w:val="20"/>
              </w:rPr>
            </w:pPr>
            <w:r>
              <w:rPr/>
            </w:r>
            <m:oMath xmlns:m="http://schemas.openxmlformats.org/officeDocument/2006/math">
              <m:d>
                <m:dPr>
                  <m:begChr m:val="("/>
                  <m:endChr m:val=")"/>
                </m:dPr>
                <m:e>
                  <m:sSub>
                    <m:e>
                      <m:r>
                        <w:rPr>
                          <w:rFonts w:ascii="Cambria Math" w:hAnsi="Cambria Math"/>
                        </w:rPr>
                        <m:t xml:space="preserve">EnePEMLIndex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EnePEMLIndex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EnePEMLIndex</m:t>
                  </m:r>
                  <m:r>
                    <w:rPr>
                      <w:rFonts w:ascii="Cambria Math" w:hAnsi="Cambria Math"/>
                    </w:rPr>
                    <m:t xml:space="preserve">=</m:t>
                  </m:r>
                  <m:sSub>
                    <m:e>
                      <m:r>
                        <w:rPr>
                          <w:rFonts w:ascii="Cambria Math" w:hAnsi="Cambria Math"/>
                        </w:rPr>
                        <m:t xml:space="preserve">EnePEMCIndex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84" w:hRule="exact"/>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EneAMCIndex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EneAMCIndex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EneAMCIndex</m:t>
                  </m:r>
                  <m:r>
                    <w:rPr>
                      <w:rFonts w:ascii="Cambria Math" w:hAnsi="Cambria Math"/>
                    </w:rPr>
                    <m:t xml:space="preserve">=</m:t>
                  </m:r>
                  <m:sSub>
                    <m:e>
                      <m:r>
                        <w:rPr>
                          <w:rFonts w:ascii="Cambria Math" w:hAnsi="Cambria Math"/>
                        </w:rPr>
                        <m:t xml:space="preserve">EneAMCIndex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(37)</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EneAMCIndex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EneAMCIndex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EneAMCIndex</m:t>
                  </m:r>
                  <m:r>
                    <w:rPr>
                      <w:rFonts w:ascii="Cambria Math" w:hAnsi="Cambria Math"/>
                    </w:rPr>
                    <m:t xml:space="preserve">=</m:t>
                  </m:r>
                  <m:sSub>
                    <m:e>
                      <m:r>
                        <w:rPr>
                          <w:rFonts w:ascii="Cambria Math" w:hAnsi="Cambria Math"/>
                        </w:rPr>
                        <m:t xml:space="preserve">EneAMCIndex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84" w:hRule="exact"/>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EneAMLIndex</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EneAMLIndex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EneAMLIndex</m:t>
                  </m:r>
                  <m:r>
                    <w:rPr>
                      <w:rFonts w:ascii="Cambria Math" w:hAnsi="Cambria Math"/>
                    </w:rPr>
                    <m:t xml:space="preserve">=</m:t>
                  </m:r>
                  <m:sSub>
                    <m:e>
                      <m:r>
                        <w:rPr>
                          <w:rFonts w:ascii="Cambria Math" w:hAnsi="Cambria Math"/>
                        </w:rPr>
                        <m:t xml:space="preserve">EneAMLIndex</m:t>
                      </m:r>
                    </m:e>
                    <m:sub>
                      <m:r>
                        <w:rPr>
                          <w:rFonts w:ascii="Cambria Math" w:hAnsi="Cambria Math"/>
                        </w:rPr>
                        <m:t xml:space="preserve">p</m:t>
                      </m:r>
                    </m:sub>
                  </m:sSub>
                </m:e>
              </m:d>
              <m:r>
                <w:rPr>
                  <w:rFonts w:ascii="Cambria Math" w:hAnsi="Cambria Math"/>
                </w:rPr>
                <m:t xml:space="preserve">;</m:t>
              </m:r>
            </m:oMath>
          </w:p>
        </w:tc>
        <w:tc>
          <w:tcPr>
            <w:tcW w:w="631" w:type="dxa"/>
            <w:vMerge w:val="restart"/>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(38)</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d>
                <m:dPr>
                  <m:begChr m:val="("/>
                  <m:endChr m:val=")"/>
                </m:dPr>
                <m:e>
                  <m:sSub>
                    <m:e>
                      <m:r>
                        <w:rPr>
                          <w:rFonts w:ascii="Cambria Math" w:hAnsi="Cambria Math"/>
                        </w:rPr>
                        <m:t xml:space="preserve">EneAMLIndex</m:t>
                      </m:r>
                    </m:e>
                    <m:sub>
                      <m:r>
                        <w:rPr>
                          <w:rFonts w:ascii="Cambria Math" w:hAnsi="Cambria Math"/>
                        </w:rPr>
                        <m:t xml:space="preserve">p</m:t>
                      </m:r>
                    </m:sub>
                  </m:sSub>
                  <m:r>
                    <w:rPr>
                      <w:rFonts w:ascii="Cambria Math" w:hAnsi="Cambria Math"/>
                    </w:rPr>
                    <m:t xml:space="preserve">&lt;</m:t>
                  </m:r>
                  <m:sSub>
                    <m:e>
                      <m:r>
                        <w:rPr>
                          <w:rFonts w:ascii="Cambria Math" w:hAnsi="Cambria Math"/>
                        </w:rPr>
                        <m:t xml:space="preserve">EneAMLIndex</m:t>
                      </m:r>
                    </m:e>
                    <m:sub>
                      <m:r>
                        <w:rPr>
                          <w:rFonts w:ascii="Cambria Math" w:hAnsi="Cambria Math"/>
                        </w:rPr>
                        <m:t xml:space="preserve">a</m:t>
                      </m:r>
                    </m:sub>
                  </m:sSub>
                </m:e>
              </m:d>
              <m:r>
                <w:rPr>
                  <w:rFonts w:ascii="Cambria Math" w:hAnsi="Cambria Math"/>
                </w:rPr>
                <m:t xml:space="preserve">→</m:t>
              </m:r>
              <m:d>
                <m:dPr>
                  <m:begChr m:val="("/>
                  <m:endChr m:val=")"/>
                </m:dPr>
                <m:e>
                  <m:r>
                    <w:rPr>
                      <w:rFonts w:ascii="Cambria Math" w:hAnsi="Cambria Math"/>
                    </w:rPr>
                    <m:t xml:space="preserve">EneAMLIndex</m:t>
                  </m:r>
                  <m:r>
                    <w:rPr>
                      <w:rFonts w:ascii="Cambria Math" w:hAnsi="Cambria Math"/>
                    </w:rPr>
                    <m:t xml:space="preserve">=</m:t>
                  </m:r>
                  <m:sSub>
                    <m:e>
                      <m:r>
                        <w:rPr>
                          <w:rFonts w:ascii="Cambria Math" w:hAnsi="Cambria Math"/>
                        </w:rPr>
                        <m:t xml:space="preserve">EneAMCIndex</m:t>
                      </m:r>
                    </m:e>
                    <m:sub>
                      <m:r>
                        <w:rPr>
                          <w:rFonts w:ascii="Cambria Math" w:hAnsi="Cambria Math"/>
                        </w:rPr>
                        <m:t xml:space="preserve">a</m:t>
                      </m:r>
                    </m:sub>
                  </m:sSub>
                </m:e>
              </m:d>
            </m:oMath>
          </w:p>
        </w:tc>
        <w:tc>
          <w:tcPr>
            <w:tcW w:w="631" w:type="dxa"/>
            <w:vMerge w:val="continue"/>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EnePAMCIndex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PeePAMC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ePAMC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ePAMC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(39)</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EnePAMCIndex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PeePAMC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PeePAMC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m:t>
                          </m:r>
                          <m:r>
                            <w:rPr>
                              <w:rFonts w:ascii="Cambria Math" w:hAnsi="Cambria Math"/>
                            </w:rPr>
                            <m:t xml:space="preserve">PAMC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PeePAMC</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(40)</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EnePEMCIndex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PeePEMC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PeePEMC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ePEMC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PeePEMC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ePEMC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PeePEMC</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(41)</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EnePEMCIndex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PeePEMC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PeePEMC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PeePEMC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PeePEMC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PeePEMC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PeePEMC</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(42)</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EnePAMLIndex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PeePAML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ePAML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ePAML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(43)</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EnePAMLIndex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PeePAML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PeePAML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PeePAML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PeePAML</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(44)</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EnePEMLIndex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PeePEML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PeePEML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ePEML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PeePEML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ePEML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PeePEML</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(45)</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EnePEMLIndex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PeePEML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PeePEML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PeePEML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PeePEML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PeePEML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PeePEML</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(46)</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EneAMCIndex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eAMC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eAMC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PeeAMC</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(47)</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EneAMCIndex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PeeAMC</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PeeAMC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PeeAMC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PeeAMC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PeeAMC</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(48)</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EneAMLIndex</m:t>
                  </m:r>
                </m:e>
                <m:sub>
                  <m:r>
                    <w:rPr>
                      <w:rFonts w:ascii="Cambria Math" w:hAnsi="Cambria Math"/>
                    </w:rPr>
                    <m:t xml:space="preserve">p</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PeeAML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sSub>
                        <m:e>
                          <m:r>
                            <w:rPr>
                              <w:rFonts w:ascii="Cambria Math" w:hAnsi="Cambria Math"/>
                            </w:rPr>
                            <m:t xml:space="preserve">Pe</m:t>
                          </m:r>
                          <m:r>
                            <w:rPr>
                              <w:rFonts w:ascii="Cambria Math" w:hAnsi="Cambria Math"/>
                            </w:rPr>
                            <m:t xml:space="preserve">eAML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n</m:t>
                      </m:r>
                    </m:den>
                  </m:f>
                  <m:r>
                    <w:rPr>
                      <w:rFonts w:ascii="Cambria Math" w:hAnsi="Cambria Math"/>
                    </w:rPr>
                    <m:t xml:space="preserve">×</m:t>
                  </m:r>
                  <m:f>
                    <m:num>
                      <m:r>
                        <w:rPr>
                          <w:rFonts w:ascii="Cambria Math" w:hAnsi="Cambria Math"/>
                        </w:rPr>
                        <m:t xml:space="preserve">Pe</m:t>
                      </m:r>
                      <m:sSub>
                        <m:e>
                          <m:r>
                            <w:rPr>
                              <w:rFonts w:ascii="Cambria Math" w:hAnsi="Cambria Math"/>
                            </w:rPr>
                            <m:t xml:space="preserve">eAML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PeneAML</m:t>
                          </m:r>
                        </m:e>
                        <m:sub>
                          <m:r>
                            <w:rPr>
                              <w:rFonts w:ascii="Cambria Math" w:hAnsi="Cambria Math"/>
                            </w:rPr>
                            <m:t xml:space="preserve">P</m:t>
                          </m:r>
                          <m:r>
                            <w:rPr>
                              <w:rFonts w:ascii="Cambria Math" w:hAnsi="Cambria Math"/>
                            </w:rPr>
                            <m:t xml:space="preserve">0</m:t>
                          </m:r>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(49)</w:t>
            </w:r>
          </w:p>
        </w:tc>
      </w:tr>
      <w:tr>
        <w:trPr/>
        <w:tc>
          <w:tcPr>
            <w:tcW w:w="8013" w:type="dxa"/>
            <w:tcBorders/>
            <w:shd w:color="auto" w:fill="auto" w:val="clear"/>
          </w:tcPr>
          <w:p>
            <w:pPr>
              <w:pStyle w:val="Normal"/>
              <w:widowControl w:val="false"/>
              <w:spacing w:lineRule="auto" w:line="360" w:before="0" w:after="0"/>
              <w:jc w:val="center"/>
              <w:rPr>
                <w:sz w:val="20"/>
                <w:szCs w:val="20"/>
              </w:rPr>
            </w:pPr>
            <w:r>
              <w:rPr/>
            </w:r>
            <m:oMath xmlns:m="http://schemas.openxmlformats.org/officeDocument/2006/math">
              <m:sSub>
                <m:e>
                  <m:r>
                    <w:rPr>
                      <w:rFonts w:ascii="Cambria Math" w:hAnsi="Cambria Math"/>
                    </w:rPr>
                    <m:t xml:space="preserve">EnePMLIndex</m:t>
                  </m:r>
                </m:e>
                <m:sub>
                  <m:r>
                    <w:rPr>
                      <w:rFonts w:ascii="Cambria Math" w:hAnsi="Cambria Math"/>
                    </w:rPr>
                    <m:t xml:space="preserve">a</m:t>
                  </m:r>
                </m:sub>
              </m:sSub>
              <m:r>
                <w:rPr>
                  <w:rFonts w:ascii="Cambria Math" w:hAnsi="Cambria Math"/>
                </w:rPr>
                <m:t xml:space="preserve">=</m:t>
              </m:r>
              <m:d>
                <m:dPr>
                  <m:begChr m:val="("/>
                  <m:endChr m:val=")"/>
                </m:dPr>
                <m:e>
                  <m:f>
                    <m:num>
                      <m:sSub>
                        <m:e>
                          <m:r>
                            <w:rPr>
                              <w:rFonts w:ascii="Cambria Math" w:hAnsi="Cambria Math"/>
                            </w:rPr>
                            <m:t xml:space="preserve">PeeAML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PeeAML</m:t>
                          </m:r>
                        </m:e>
                        <m:sub>
                          <m:r>
                            <w:rPr>
                              <w:rFonts w:ascii="Cambria Math" w:hAnsi="Cambria Math"/>
                            </w:rPr>
                            <m:t xml:space="preserve">P</m:t>
                          </m:r>
                          <m:r>
                            <w:rPr>
                              <w:rFonts w:ascii="Cambria Math" w:hAnsi="Cambria Math"/>
                            </w:rPr>
                            <m:t xml:space="preserve">0</m:t>
                          </m:r>
                        </m:sub>
                      </m:sSub>
                    </m:den>
                  </m:f>
                </m:e>
              </m:d>
              <m:r>
                <w:rPr>
                  <w:rFonts w:ascii="Cambria Math" w:hAnsi="Cambria Math"/>
                </w:rPr>
                <m:t xml:space="preserve">×</m:t>
              </m:r>
              <m:d>
                <m:dPr>
                  <m:begChr m:val="("/>
                  <m:endChr m:val=")"/>
                </m:dPr>
                <m:e>
                  <m:f>
                    <m:num>
                      <m:sSub>
                        <m:e>
                          <m:r>
                            <w:rPr>
                              <w:rFonts w:ascii="Cambria Math" w:hAnsi="Cambria Math"/>
                            </w:rPr>
                            <m:t xml:space="preserve">PeeAML</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PeeAML</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PeeAML</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PeeAML</m:t>
                          </m:r>
                        </m:e>
                        <m:sub>
                          <m:r>
                            <w:rPr>
                              <w:rFonts w:ascii="Cambria Math" w:hAnsi="Cambria Math"/>
                            </w:rPr>
                            <m:t xml:space="preserve">i</m:t>
                          </m:r>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ub>
                      </m:sSub>
                    </m:den>
                  </m:f>
                </m:e>
              </m:d>
            </m:oMath>
          </w:p>
        </w:tc>
        <w:tc>
          <w:tcPr>
            <w:tcW w:w="63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(50)</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EnePAMCIndex</m:t>
        </m:r>
      </m:oMath>
      <w:r>
        <w:rPr>
          <w:rFonts w:cs="Times New Roman" w:ascii="Times New Roman" w:hAnsi="Times New Roman"/>
          <w:sz w:val="20"/>
          <w:szCs w:val="20"/>
        </w:rPr>
        <w:t>= Índice de reajuste das despesas e custos com energia elétrica consumida na prestação dos serviços (ambiente produtivo) de abastecimento de água no intervalo de tempo em análise,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EnePAMCIndex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prestação dos serviços (ambiente produtivo) de abastecimento de água,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EnePAMCIndex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prestação dos serviços (ambiente produtivo) de abastecimento de água, proveniente do mercado cativo;</w:t>
      </w:r>
    </w:p>
    <w:p>
      <w:pPr>
        <w:pStyle w:val="Normal"/>
        <w:spacing w:lineRule="auto" w:line="240" w:before="0" w:after="0"/>
        <w:jc w:val="both"/>
        <w:rPr/>
      </w:pPr>
      <w:r>
        <w:rPr/>
      </w:r>
      <m:oMath xmlns:m="http://schemas.openxmlformats.org/officeDocument/2006/math">
        <m:r>
          <w:rPr>
            <w:rFonts w:ascii="Cambria Math" w:hAnsi="Cambria Math"/>
          </w:rPr>
          <m:t xml:space="preserve">EnePEMCIndex</m:t>
        </m:r>
      </m:oMath>
      <w:r>
        <w:rPr>
          <w:rFonts w:cs="Times New Roman" w:ascii="Times New Roman" w:hAnsi="Times New Roman"/>
          <w:sz w:val="20"/>
          <w:szCs w:val="20"/>
        </w:rPr>
        <w:t>= Índice de reajuste das despesas e custos com energia elétrica consumida na prestação dos serviços (ambiente produtivo) de esgotamento sanitário no intervalo de tempo em análise,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EnePEMCIndex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prestação dos serviços (ambiente produtivo) de esgotamento sanitário,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EnePEMCIndex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prestação dos serviços (ambiente produtivo) de esgotamento sanitário, proveniente do mercado cativo;</w:t>
      </w:r>
    </w:p>
    <w:p>
      <w:pPr>
        <w:pStyle w:val="Normal"/>
        <w:spacing w:lineRule="auto" w:line="240" w:before="0" w:after="0"/>
        <w:jc w:val="both"/>
        <w:rPr/>
      </w:pPr>
      <w:r>
        <w:rPr/>
      </w:r>
      <m:oMath xmlns:m="http://schemas.openxmlformats.org/officeDocument/2006/math">
        <m:r>
          <w:rPr>
            <w:rFonts w:ascii="Cambria Math" w:hAnsi="Cambria Math"/>
          </w:rPr>
          <m:t xml:space="preserve">EnePAMLIndex</m:t>
        </m:r>
      </m:oMath>
      <w:r>
        <w:rPr>
          <w:rFonts w:cs="Times New Roman" w:ascii="Times New Roman" w:hAnsi="Times New Roman"/>
          <w:sz w:val="20"/>
          <w:szCs w:val="20"/>
        </w:rPr>
        <w:t>= Índice de reajuste das despesas e custos com energia elétrica consumida na prestação dos serviços (ambiente produtivo) de abastecimento de água no intervalo de tempo em análise,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EnePAMLIndex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prestação dos serviços (ambiente produtivo) de abastecimento de água,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EnePAMLIndex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prestação dos serviços (ambiente produtivo) de abastecimento de água, proveniente do mercado livre;</w:t>
      </w:r>
    </w:p>
    <w:p>
      <w:pPr>
        <w:pStyle w:val="Normal"/>
        <w:spacing w:lineRule="auto" w:line="240" w:before="0" w:after="0"/>
        <w:jc w:val="both"/>
        <w:rPr/>
      </w:pPr>
      <w:r>
        <w:rPr/>
      </w:r>
      <m:oMath xmlns:m="http://schemas.openxmlformats.org/officeDocument/2006/math">
        <m:r>
          <w:rPr>
            <w:rFonts w:ascii="Cambria Math" w:hAnsi="Cambria Math"/>
          </w:rPr>
          <m:t xml:space="preserve">EnePEMLIndex</m:t>
        </m:r>
      </m:oMath>
      <w:r>
        <w:rPr>
          <w:rFonts w:cs="Times New Roman" w:ascii="Times New Roman" w:hAnsi="Times New Roman"/>
          <w:sz w:val="20"/>
          <w:szCs w:val="20"/>
        </w:rPr>
        <w:t>= Índice de reajuste das despesas e custos com energia elétrica consumida na prestação dos serviços (ambiente produtivo) de esgotamento sanitário no intervalo de tempo em análise,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EnePEMLIndex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prestação dos serviços (ambiente produtivo) de esgotamento sanitário,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EnePEMLIndex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prestação dos serviços (ambiente produtivo) de esgotamento sanitário, proveniente do mercado livre;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EneAMCIndex</m:t>
        </m:r>
      </m:oMath>
      <w:r>
        <w:rPr>
          <w:rFonts w:cs="Times New Roman" w:ascii="Times New Roman" w:hAnsi="Times New Roman"/>
          <w:sz w:val="20"/>
          <w:szCs w:val="20"/>
        </w:rPr>
        <w:t>= Índice de reajuste das despesas com energia elétrica consumida na estrutura administrativa e comercial no intervalo de tempo em análise,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EneAMCIndex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estrutura administrativa e comercial, proveniente do mercado cativo;</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EneAMCIndex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estrutura administrativa e comercial,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EneAMLIndex</m:t>
        </m:r>
      </m:oMath>
      <w:r>
        <w:rPr>
          <w:rFonts w:cs="Times New Roman" w:ascii="Times New Roman" w:hAnsi="Times New Roman"/>
          <w:sz w:val="20"/>
          <w:szCs w:val="20"/>
        </w:rPr>
        <w:t>= Índice de reajuste das despesas com energia elétrica consumida na estrutura administrativa e comercial no intervalo de tempo em análise,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EneAMLIndex</m:t>
            </m:r>
          </m:e>
          <m:sub>
            <m:r>
              <w:rPr>
                <w:rFonts w:ascii="Cambria Math" w:hAnsi="Cambria Math"/>
              </w:rPr>
              <m:t xml:space="preserve">p</m:t>
            </m:r>
          </m:sub>
        </m:sSub>
      </m:oMath>
      <w:r>
        <w:rPr>
          <w:rFonts w:cs="Times New Roman" w:ascii="Times New Roman" w:hAnsi="Times New Roman"/>
          <w:sz w:val="20"/>
          <w:szCs w:val="20"/>
        </w:rPr>
        <w:t>= Índice de variação médio ponderado dos preços do kWh consumidos na estrutura administrativa e comercial, proveniente do mercado livre;</w:t>
      </w:r>
    </w:p>
    <w:p>
      <w:pPr>
        <w:pStyle w:val="Normal"/>
        <w:spacing w:lineRule="auto" w:line="240" w:before="0" w:after="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EneAMLIndex</m:t>
            </m:r>
          </m:e>
          <m:sub>
            <m:r>
              <w:rPr>
                <w:rFonts w:ascii="Cambria Math" w:hAnsi="Cambria Math"/>
              </w:rPr>
              <m:t xml:space="preserve">a</m:t>
            </m:r>
          </m:sub>
        </m:sSub>
      </m:oMath>
      <w:r>
        <w:rPr>
          <w:rFonts w:cs="Times New Roman" w:ascii="Times New Roman" w:hAnsi="Times New Roman"/>
          <w:sz w:val="20"/>
          <w:szCs w:val="20"/>
        </w:rPr>
        <w:t>= Índice de variação médio acumulado dos preços do kWh consumidos na estrutura administrativa e comercial,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PeePEMC</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PeePEML</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m:t>
            </m:r>
            <m:r>
              <w:rPr>
                <w:rFonts w:ascii="Cambria Math" w:hAnsi="Cambria Math"/>
              </w:rPr>
              <m:t xml:space="preserve">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por estrutura administrativa e comercial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PeePAMC</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por estrutura administrativa e comercial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por estrutura administrativa e comercial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P</m:t>
            </m:r>
            <m:r>
              <w:rPr>
                <w:rFonts w:ascii="Cambria Math" w:hAnsi="Cambria Math"/>
              </w:rPr>
              <m:t xml:space="preserve">0</m:t>
            </m:r>
          </m:sub>
        </m:sSub>
      </m:oMath>
      <w:r>
        <w:rPr>
          <w:rFonts w:cs="Times New Roman" w:ascii="Times New Roman" w:hAnsi="Times New Roman"/>
          <w:sz w:val="20"/>
          <w:szCs w:val="20"/>
        </w:rPr>
        <w:t xml:space="preserve">= Preço médio total pago por kWh e calculado para toda energia consumida por estrutura administrativa e comercial em </w:t>
      </w:r>
      <w:r>
        <w:rPr>
          <w:rFonts w:cs="Times New Roman" w:ascii="Times New Roman" w:hAnsi="Times New Roman"/>
          <w:i/>
          <w:iCs/>
          <w:sz w:val="20"/>
          <w:szCs w:val="20"/>
        </w:rPr>
        <w:t>P</w:t>
      </w:r>
      <w:r>
        <w:rPr>
          <w:rFonts w:cs="Times New Roman" w:ascii="Times New Roman" w:hAnsi="Times New Roman"/>
          <w:i/>
          <w:iCs/>
          <w:sz w:val="20"/>
          <w:szCs w:val="20"/>
          <w:vertAlign w:val="subscript"/>
        </w:rPr>
        <w:t>0</w:t>
      </w:r>
      <w:r>
        <w:rPr>
          <w:rFonts w:cs="Times New Roman" w:ascii="Times New Roman" w:hAnsi="Times New Roman"/>
          <w:iCs/>
          <w:sz w:val="20"/>
          <w:szCs w:val="20"/>
        </w:rPr>
        <w:t>, proveniente do mercado livre.</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Conforme já mencionado, todos os gastos associados à aquisição dos serviços de energia elétrica deverão compor o cálculo do Preço médio total pago por kWh. Contudo, deverão ser deduzidos os tributos recuperáveis (não cumulativos), taxa de iluminação pública (transferida para as despesas com tributos)</w:t>
      </w:r>
      <w:r>
        <w:rPr>
          <w:rFonts w:cs="Times New Roman" w:ascii="Times New Roman" w:hAnsi="Times New Roman"/>
          <w:strike/>
          <w:sz w:val="24"/>
          <w:szCs w:val="24"/>
        </w:rPr>
        <w:t>,</w:t>
      </w:r>
      <w:r>
        <w:rPr>
          <w:rFonts w:cs="Times New Roman" w:ascii="Times New Roman" w:hAnsi="Times New Roman"/>
          <w:sz w:val="24"/>
          <w:szCs w:val="24"/>
        </w:rPr>
        <w:t xml:space="preserve"> e eventuais multas e juros (inelegíveis) dos valores totais cobrados nas faturas dos prestadores de energia elétrica. Para os cálculos são totalizadas todas as contas (faturas) de todos os contratos, bem como seus respectivos kWh faturados em determinado período. As formulações 51 a 56 apresentam as metodologias de cálculos dos referidos preços</w:t>
      </w:r>
      <w:r>
        <w:rPr>
          <w:rStyle w:val="Ncoradanotaderodap"/>
          <w:rFonts w:cs="Times New Roman" w:ascii="Times New Roman" w:hAnsi="Times New Roman"/>
          <w:sz w:val="24"/>
          <w:szCs w:val="24"/>
        </w:rPr>
        <w:footnoteReference w:id="7"/>
      </w:r>
      <w:r>
        <w:rPr>
          <w:rFonts w:cs="Times New Roman" w:ascii="Times New Roman" w:hAnsi="Times New Roman"/>
          <w:sz w:val="24"/>
          <w:szCs w:val="24"/>
        </w:rPr>
        <w:t>.</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Style w:val="Tabelacomgrade"/>
        <w:tblW w:w="8644" w:type="dxa"/>
        <w:jc w:val="left"/>
        <w:tblInd w:w="0" w:type="dxa"/>
        <w:tblCellMar>
          <w:top w:w="0" w:type="dxa"/>
          <w:left w:w="108" w:type="dxa"/>
          <w:bottom w:w="0" w:type="dxa"/>
          <w:right w:w="108" w:type="dxa"/>
        </w:tblCellMar>
        <w:tblLook w:firstRow="1" w:noVBand="1" w:lastRow="0" w:firstColumn="1" w:lastColumn="0" w:noHBand="0" w:val="04a0"/>
      </w:tblPr>
      <w:tblGrid>
        <w:gridCol w:w="7764"/>
        <w:gridCol w:w="879"/>
      </w:tblGrid>
      <w:tr>
        <w:trPr>
          <w:trHeight w:val="680" w:hRule="exact"/>
        </w:trPr>
        <w:tc>
          <w:tcPr>
            <w:tcW w:w="7764" w:type="dxa"/>
            <w:tcBorders>
              <w:top w:val="nil"/>
              <w:left w:val="nil"/>
              <w:bottom w:val="nil"/>
              <w:right w:val="nil"/>
            </w:tcBorders>
          </w:tcPr>
          <w:p>
            <w:pPr>
              <w:pStyle w:val="Normal"/>
              <w:spacing w:lineRule="auto" w:line="360" w:before="0" w:after="200"/>
              <w:rPr>
                <w:rFonts w:ascii="Times New Roman" w:hAnsi="Times New Roman" w:cs="Times New Roman"/>
                <w:sz w:val="20"/>
                <w:szCs w:val="20"/>
              </w:rPr>
            </w:pPr>
            <w:r>
              <w:rPr>
                <w:rFonts w:eastAsia="Calibri" w:cs="" w:cstheme="minorBidi" w:eastAsiaTheme="minorHAnsi"/>
              </w:rPr>
            </w:r>
            <m:oMath xmlns:m="http://schemas.openxmlformats.org/officeDocument/2006/math">
              <m:sSub>
                <m:e>
                  <m:r>
                    <w:rPr>
                      <w:rFonts w:ascii="Cambria Math" w:hAnsi="Cambria Math"/>
                    </w:rPr>
                    <m:t xml:space="preserve">PeePAMC</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FEnePAMC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kWhPAMC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(51)</w:t>
            </w:r>
          </w:p>
        </w:tc>
      </w:tr>
      <w:tr>
        <w:trPr>
          <w:trHeight w:val="680" w:hRule="exact"/>
        </w:trPr>
        <w:tc>
          <w:tcPr>
            <w:tcW w:w="7764" w:type="dxa"/>
            <w:tcBorders>
              <w:top w:val="nil"/>
              <w:left w:val="nil"/>
              <w:bottom w:val="nil"/>
              <w:right w:val="nil"/>
            </w:tcBorders>
          </w:tcPr>
          <w:p>
            <w:pPr>
              <w:pStyle w:val="Normal"/>
              <w:spacing w:lineRule="auto" w:line="360" w:before="0" w:after="200"/>
              <w:rPr>
                <w:rFonts w:ascii="Times New Roman" w:hAnsi="Times New Roman" w:cs="Times New Roman"/>
                <w:sz w:val="20"/>
                <w:szCs w:val="20"/>
              </w:rPr>
            </w:pPr>
            <w:r>
              <w:rPr>
                <w:rFonts w:eastAsia="Calibri" w:cs="" w:cstheme="minorBidi" w:eastAsiaTheme="minorHAnsi"/>
              </w:rPr>
            </w:r>
            <m:oMath xmlns:m="http://schemas.openxmlformats.org/officeDocument/2006/math">
              <m:sSub>
                <m:e>
                  <m:r>
                    <w:rPr>
                      <w:rFonts w:ascii="Cambria Math" w:hAnsi="Cambria Math"/>
                    </w:rPr>
                    <m:t xml:space="preserve">PeePEMC</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FEnePEMC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kWhPEMC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(52)</w:t>
            </w:r>
          </w:p>
        </w:tc>
      </w:tr>
      <w:tr>
        <w:trPr>
          <w:trHeight w:val="680" w:hRule="exact"/>
        </w:trPr>
        <w:tc>
          <w:tcPr>
            <w:tcW w:w="7764" w:type="dxa"/>
            <w:tcBorders>
              <w:top w:val="nil"/>
              <w:left w:val="nil"/>
              <w:bottom w:val="nil"/>
              <w:right w:val="nil"/>
            </w:tcBorders>
          </w:tcPr>
          <w:p>
            <w:pPr>
              <w:pStyle w:val="Normal"/>
              <w:spacing w:lineRule="auto" w:line="360" w:before="0" w:after="200"/>
              <w:rPr>
                <w:rFonts w:ascii="Times New Roman" w:hAnsi="Times New Roman" w:cs="Times New Roman"/>
                <w:sz w:val="20"/>
                <w:szCs w:val="20"/>
              </w:rPr>
            </w:pPr>
            <w:r>
              <w:rPr>
                <w:rFonts w:eastAsia="Calibri" w:cs="" w:cstheme="minorBidi" w:eastAsiaTheme="minorHAnsi"/>
              </w:rPr>
            </w:r>
            <m:oMath xmlns:m="http://schemas.openxmlformats.org/officeDocument/2006/math">
              <m:sSub>
                <m:e>
                  <m:r>
                    <w:rPr>
                      <w:rFonts w:ascii="Cambria Math" w:hAnsi="Cambria Math"/>
                    </w:rPr>
                    <m:t xml:space="preserve">PeePAML</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FEnePAML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kWhPAML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(53)</w:t>
            </w:r>
          </w:p>
        </w:tc>
      </w:tr>
      <w:tr>
        <w:trPr>
          <w:trHeight w:val="680" w:hRule="exact"/>
        </w:trPr>
        <w:tc>
          <w:tcPr>
            <w:tcW w:w="7764" w:type="dxa"/>
            <w:tcBorders>
              <w:top w:val="nil"/>
              <w:left w:val="nil"/>
              <w:bottom w:val="nil"/>
              <w:right w:val="nil"/>
            </w:tcBorders>
          </w:tcPr>
          <w:p>
            <w:pPr>
              <w:pStyle w:val="Normal"/>
              <w:spacing w:lineRule="auto" w:line="360" w:before="0" w:after="200"/>
              <w:rPr>
                <w:rFonts w:ascii="Times New Roman" w:hAnsi="Times New Roman" w:cs="Times New Roman"/>
                <w:sz w:val="20"/>
                <w:szCs w:val="20"/>
              </w:rPr>
            </w:pPr>
            <w:r>
              <w:rPr>
                <w:rFonts w:eastAsia="Calibri" w:cs="" w:cstheme="minorBidi" w:eastAsiaTheme="minorHAnsi"/>
              </w:rPr>
            </w:r>
            <m:oMath xmlns:m="http://schemas.openxmlformats.org/officeDocument/2006/math">
              <m:sSub>
                <m:e>
                  <m:r>
                    <w:rPr>
                      <w:rFonts w:ascii="Cambria Math" w:hAnsi="Cambria Math"/>
                    </w:rPr>
                    <m:t xml:space="preserve">PeePEML</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FEnePEML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kWhPEML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(54)</w:t>
            </w:r>
          </w:p>
        </w:tc>
      </w:tr>
      <w:tr>
        <w:trPr>
          <w:trHeight w:val="680" w:hRule="exact"/>
        </w:trPr>
        <w:tc>
          <w:tcPr>
            <w:tcW w:w="7764" w:type="dxa"/>
            <w:tcBorders>
              <w:top w:val="nil"/>
              <w:left w:val="nil"/>
              <w:bottom w:val="nil"/>
              <w:right w:val="nil"/>
            </w:tcBorders>
          </w:tcPr>
          <w:p>
            <w:pPr>
              <w:pStyle w:val="Normal"/>
              <w:spacing w:lineRule="auto" w:line="360" w:before="0" w:after="200"/>
              <w:rPr>
                <w:sz w:val="20"/>
                <w:szCs w:val="20"/>
              </w:rPr>
            </w:pPr>
            <w:r>
              <w:rPr>
                <w:rFonts w:eastAsia="Calibri" w:cs="" w:cstheme="minorBidi" w:eastAsiaTheme="minorHAnsi"/>
              </w:rPr>
            </w:r>
            <m:oMath xmlns:m="http://schemas.openxmlformats.org/officeDocument/2006/math">
              <m:sSub>
                <m:e>
                  <m:r>
                    <w:rPr>
                      <w:rFonts w:ascii="Cambria Math" w:hAnsi="Cambria Math"/>
                    </w:rPr>
                    <m:t xml:space="preserve">Pe</m:t>
                  </m:r>
                  <m:r>
                    <w:rPr>
                      <w:rFonts w:ascii="Cambria Math" w:hAnsi="Cambria Math"/>
                    </w:rPr>
                    <m:t xml:space="preserve">eAMC</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(55)</w:t>
            </w:r>
          </w:p>
        </w:tc>
      </w:tr>
      <w:tr>
        <w:trPr>
          <w:trHeight w:val="680" w:hRule="exact"/>
        </w:trPr>
        <w:tc>
          <w:tcPr>
            <w:tcW w:w="7764" w:type="dxa"/>
            <w:tcBorders>
              <w:top w:val="nil"/>
              <w:left w:val="nil"/>
              <w:bottom w:val="nil"/>
              <w:right w:val="nil"/>
            </w:tcBorders>
          </w:tcPr>
          <w:p>
            <w:pPr>
              <w:pStyle w:val="Normal"/>
              <w:spacing w:lineRule="auto" w:line="360" w:before="0" w:after="200"/>
              <w:rPr>
                <w:sz w:val="20"/>
                <w:szCs w:val="20"/>
              </w:rPr>
            </w:pPr>
            <w:r>
              <w:rPr>
                <w:rFonts w:eastAsia="Calibri" w:cs="" w:cstheme="minorBidi" w:eastAsiaTheme="minorHAnsi"/>
              </w:rPr>
            </w:r>
            <m:oMath xmlns:m="http://schemas.openxmlformats.org/officeDocument/2006/math">
              <m:sSub>
                <m:e>
                  <m:r>
                    <w:rPr>
                      <w:rFonts w:ascii="Cambria Math" w:hAnsi="Cambria Math"/>
                    </w:rPr>
                    <m:t xml:space="preserve">PeeAML</m:t>
                  </m:r>
                </m:e>
                <m:sub>
                  <m:r>
                    <w:rPr>
                      <w:rFonts w:ascii="Cambria Math" w:hAnsi="Cambria Math"/>
                    </w:rPr>
                    <m:t xml:space="preserve">i</m:t>
                  </m:r>
                </m:sub>
              </m:sSub>
              <m:r>
                <w:rPr>
                  <w:rFonts w:ascii="Cambria Math" w:hAnsi="Cambria Math"/>
                </w:rPr>
                <m:t xml:space="preserve">=</m:t>
              </m:r>
              <m:f>
                <m:num>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FEneAML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num>
                <m:den>
                  <m:nary>
                    <m:naryPr>
                      <m:chr m:val="∑"/>
                    </m:naryPr>
                    <m:sub>
                      <m:r>
                        <w:rPr>
                          <w:rFonts w:ascii="Cambria Math" w:hAnsi="Cambria Math"/>
                        </w:rPr>
                        <m:t xml:space="preserve">c</m:t>
                      </m:r>
                      <m:r>
                        <w:rPr>
                          <w:rFonts w:ascii="Cambria Math" w:hAnsi="Cambria Math"/>
                        </w:rPr>
                        <m:t xml:space="preserve">=</m:t>
                      </m:r>
                      <m:r>
                        <w:rPr>
                          <w:rFonts w:ascii="Cambria Math" w:hAnsi="Cambria Math"/>
                        </w:rPr>
                        <m:t xml:space="preserve">1</m:t>
                      </m:r>
                    </m:sub>
                    <m:sup>
                      <m:r>
                        <w:rPr>
                          <w:rFonts w:ascii="Cambria Math" w:hAnsi="Cambria Math"/>
                        </w:rPr>
                        <m:t xml:space="preserve">c</m:t>
                      </m:r>
                      <m:r>
                        <w:rPr>
                          <w:rFonts w:ascii="Cambria Math" w:hAnsi="Cambria Math"/>
                        </w:rPr>
                        <m:t xml:space="preserve">=</m:t>
                      </m:r>
                      <m:r>
                        <w:rPr>
                          <w:rFonts w:ascii="Cambria Math" w:hAnsi="Cambria Math"/>
                        </w:rPr>
                        <m:t xml:space="preserve">n</m:t>
                      </m:r>
                    </m:sup>
                    <m:e>
                      <m:sSub>
                        <m:e>
                          <m:r>
                            <w:rPr>
                              <w:rFonts w:ascii="Cambria Math" w:hAnsi="Cambria Math"/>
                            </w:rPr>
                            <m:t xml:space="preserve">kWhAML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e>
                  </m:nary>
                </m:den>
              </m:f>
            </m:oMath>
          </w:p>
        </w:tc>
        <w:tc>
          <w:tcPr>
            <w:tcW w:w="879" w:type="dxa"/>
            <w:tcBorders>
              <w:top w:val="nil"/>
              <w:left w:val="nil"/>
              <w:bottom w:val="nil"/>
              <w:right w:val="nil"/>
            </w:tcBorders>
            <w:vAlign w:val="center"/>
          </w:tcPr>
          <w:p>
            <w:pPr>
              <w:pStyle w:val="Normal"/>
              <w:spacing w:before="0" w:after="200"/>
              <w:jc w:val="center"/>
              <w:rPr>
                <w:rFonts w:ascii="Times New Roman" w:hAnsi="Times New Roman" w:cs="Times New Roman"/>
                <w:sz w:val="20"/>
                <w:szCs w:val="20"/>
              </w:rPr>
            </w:pPr>
            <w:r>
              <w:rPr>
                <w:rFonts w:eastAsia="Calibri" w:cs="Times New Roman" w:ascii="Times New Roman" w:hAnsi="Times New Roman" w:eastAsiaTheme="minorHAnsi"/>
                <w:sz w:val="20"/>
                <w:szCs w:val="20"/>
              </w:rPr>
              <w:t>(56)</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FEnePAMC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abastecimento de água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kWhPAMC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abastecimento de água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FEnePEMC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esgotamento sanitário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kWhPEMC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esgotamento sanitário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abastecimento de água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FEnePAML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abastecimento de água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kWhPAML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abastecimento de água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PeePEML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na prestação dos serviços (ambiente produtivo) de esgotamento sanitário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FEnePEML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esgotamento sanitário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kWhPEML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 prestação de serviços de esgotamento sanitário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PeePAMC</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por estrutura administrativa e comercial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FEneAMC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às atividades administrativas e comerciais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pPr>
      <w:r>
        <w:rPr/>
      </w:r>
      <m:oMath xmlns:m="http://schemas.openxmlformats.org/officeDocument/2006/math">
        <m:sSub>
          <m:e>
            <m:r>
              <w:rPr>
                <w:rFonts w:ascii="Cambria Math" w:hAnsi="Cambria Math"/>
              </w:rPr>
              <m:t xml:space="preserve">kWhAMC</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às atividades administrativas e comerciais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cativo;</w:t>
      </w:r>
    </w:p>
    <w:p>
      <w:pPr>
        <w:pStyle w:val="Normal"/>
        <w:spacing w:lineRule="auto" w:line="240" w:before="0" w:after="0"/>
        <w:jc w:val="both"/>
        <w:rPr>
          <w:rFonts w:ascii="Times New Roman" w:hAnsi="Times New Roman" w:cs="Times New Roman"/>
          <w:iCs/>
          <w:sz w:val="20"/>
          <w:szCs w:val="20"/>
        </w:rPr>
      </w:pPr>
      <w:r>
        <w:rPr/>
      </w:r>
      <m:oMath xmlns:m="http://schemas.openxmlformats.org/officeDocument/2006/math">
        <m:sSub>
          <m:e>
            <m:r>
              <w:rPr>
                <w:rFonts w:ascii="Cambria Math" w:hAnsi="Cambria Math"/>
              </w:rPr>
              <m:t xml:space="preserve">PeePAML</m:t>
            </m:r>
          </m:e>
          <m:sub>
            <m:r>
              <w:rPr>
                <w:rFonts w:ascii="Cambria Math" w:hAnsi="Cambria Math"/>
              </w:rPr>
              <m:t xml:space="preserve">i</m:t>
            </m:r>
          </m:sub>
        </m:sSub>
      </m:oMath>
      <w:r>
        <w:rPr>
          <w:rFonts w:cs="Times New Roman" w:ascii="Times New Roman" w:hAnsi="Times New Roman"/>
          <w:sz w:val="20"/>
          <w:szCs w:val="20"/>
        </w:rPr>
        <w:t xml:space="preserve">= Preço médio total pago por kWh e calculado para toda energia consumida por estrutura administrativa e comercial no período </w:t>
      </w:r>
      <w:r>
        <w:rPr>
          <w:rFonts w:cs="Times New Roman" w:ascii="Times New Roman" w:hAnsi="Times New Roman"/>
          <w:i/>
          <w:iCs/>
          <w:sz w:val="20"/>
          <w:szCs w:val="20"/>
        </w:rPr>
        <w:t>i</w:t>
      </w:r>
      <w:r>
        <w:rPr>
          <w:rFonts w:cs="Times New Roman" w:ascii="Times New Roman" w:hAnsi="Times New Roman"/>
          <w:iCs/>
          <w:sz w:val="20"/>
          <w:szCs w:val="20"/>
        </w:rPr>
        <w:t>,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FEneAML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Valor total do gasto com energia elétrica na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às atividades administrativas e comerciais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pPr>
      <w:r>
        <w:rPr/>
      </w:r>
      <m:oMath xmlns:m="http://schemas.openxmlformats.org/officeDocument/2006/math">
        <m:sSub>
          <m:e>
            <m:r>
              <w:rPr>
                <w:rFonts w:ascii="Cambria Math" w:hAnsi="Cambria Math"/>
              </w:rPr>
              <m:t xml:space="preserve">kWhAML</m:t>
            </m:r>
          </m:e>
          <m:sub>
            <m:r>
              <w:rPr>
                <w:rFonts w:ascii="Cambria Math" w:hAnsi="Cambria Math"/>
              </w:rPr>
              <m:t xml:space="preserve">c</m:t>
            </m:r>
            <m:r>
              <w:rPr>
                <w:rFonts w:ascii="Cambria Math" w:hAnsi="Cambria Math"/>
              </w:rPr>
              <m:t xml:space="preserve">;</m:t>
            </m:r>
            <m:r>
              <w:rPr>
                <w:rFonts w:ascii="Cambria Math" w:hAnsi="Cambria Math"/>
              </w:rPr>
              <m:t xml:space="preserve">i</m:t>
            </m:r>
          </m:sub>
        </m:sSub>
      </m:oMath>
      <w:r>
        <w:rPr>
          <w:rFonts w:cs="Times New Roman" w:ascii="Times New Roman" w:hAnsi="Times New Roman"/>
          <w:sz w:val="20"/>
          <w:szCs w:val="20"/>
        </w:rPr>
        <w:t xml:space="preserve">= Total de kWh utilizado pela unidade consumidora </w:t>
      </w:r>
      <w:r>
        <w:rPr/>
      </w:r>
      <m:oMath xmlns:m="http://schemas.openxmlformats.org/officeDocument/2006/math">
        <m:r>
          <w:rPr>
            <w:rFonts w:ascii="Cambria Math" w:hAnsi="Cambria Math"/>
          </w:rPr>
          <m:t xml:space="preserve">c</m:t>
        </m:r>
      </m:oMath>
      <w:r>
        <w:rPr>
          <w:rFonts w:cs="Times New Roman" w:ascii="Times New Roman" w:hAnsi="Times New Roman"/>
          <w:sz w:val="20"/>
          <w:szCs w:val="20"/>
        </w:rPr>
        <w:t xml:space="preserve">, vinculada às atividades administrativas e comerciais no período </w:t>
      </w:r>
      <w:r>
        <w:rPr>
          <w:rFonts w:cs="Times New Roman" w:ascii="Times New Roman" w:hAnsi="Times New Roman"/>
          <w:i/>
          <w:sz w:val="20"/>
          <w:szCs w:val="20"/>
        </w:rPr>
        <w:t>i</w:t>
      </w:r>
      <w:r>
        <w:rPr>
          <w:rFonts w:cs="Times New Roman" w:ascii="Times New Roman" w:hAnsi="Times New Roman"/>
          <w:sz w:val="20"/>
          <w:szCs w:val="20"/>
        </w:rPr>
        <w:t xml:space="preserve"> e proveniente do mercado livre.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 xml:space="preserve">Na consolidação dos valores dos quatro segmentos, referentes ao consumo de energia, as notações matemáticas 57 e 58 refletem o processo de cálculo dos valores de referência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 xml:space="preserve"> para as despesas e custos com energia elétrica.</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TEnePAMC</m:t>
              </m:r>
              <m:r>
                <w:rPr>
                  <w:rFonts w:ascii="Cambria Math" w:hAnsi="Cambria Math"/>
                </w:rPr>
                <m:t xml:space="preserve">+</m:t>
              </m:r>
              <m:r>
                <w:rPr>
                  <w:rFonts w:ascii="Cambria Math" w:hAnsi="Cambria Math"/>
                </w:rPr>
                <m:t xml:space="preserve">TEnePEMC</m:t>
              </m:r>
              <m:r>
                <w:rPr>
                  <w:rFonts w:ascii="Cambria Math" w:hAnsi="Cambria Math"/>
                </w:rPr>
                <m:t xml:space="preserve">+</m:t>
              </m:r>
              <m:r>
                <w:rPr>
                  <w:rFonts w:ascii="Cambria Math" w:hAnsi="Cambria Math"/>
                </w:rPr>
                <m:t xml:space="preserve">TEnePAML</m:t>
              </m:r>
              <m:r>
                <w:rPr>
                  <w:rFonts w:ascii="Cambria Math" w:hAnsi="Cambria Math"/>
                </w:rPr>
                <m:t xml:space="preserve">+</m:t>
              </m:r>
              <m:r>
                <w:rPr>
                  <w:rFonts w:ascii="Cambria Math" w:hAnsi="Cambria Math"/>
                </w:rPr>
                <m:t xml:space="preserve">TEnePEML</m:t>
              </m:r>
            </m:oMath>
          </w:p>
          <w:p>
            <w:pPr>
              <w:pStyle w:val="Normal"/>
              <w:widowControl w:val="false"/>
              <w:spacing w:lineRule="auto" w:line="240" w:before="0" w:after="0"/>
              <w:jc w:val="center"/>
              <w:rPr/>
            </w:pPr>
            <w:r>
              <w:rPr/>
            </w:r>
            <m:oMath xmlns:m="http://schemas.openxmlformats.org/officeDocument/2006/math">
              <m:r>
                <w:rPr>
                  <w:rFonts w:ascii="Cambria Math" w:hAnsi="Cambria Math"/>
                </w:rPr>
                <m:t xml:space="preserve">+</m:t>
              </m:r>
              <m:r>
                <w:rPr>
                  <w:rFonts w:ascii="Cambria Math" w:hAnsi="Cambria Math"/>
                </w:rPr>
                <m:t xml:space="preserve">TEneAMC</m:t>
              </m:r>
              <m:r>
                <w:rPr>
                  <w:rFonts w:ascii="Cambria Math" w:hAnsi="Cambria Math"/>
                </w:rPr>
                <m:t xml:space="preserve">+</m:t>
              </m:r>
              <m:r>
                <w:rPr>
                  <w:rFonts w:ascii="Cambria Math" w:hAnsi="Cambria Math"/>
                </w:rPr>
                <m:t xml:space="preserve">TEneAML</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(57)</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TEnePAMC</m:t>
                  </m:r>
                  <m:r>
                    <w:rPr>
                      <w:rFonts w:ascii="Cambria Math" w:hAnsi="Cambria Math"/>
                    </w:rPr>
                    <m:t xml:space="preserve">×</m:t>
                  </m:r>
                  <m:r>
                    <w:rPr>
                      <w:rFonts w:ascii="Cambria Math" w:hAnsi="Cambria Math"/>
                    </w:rPr>
                    <m:t xml:space="preserve">EnePAMCIndex</m:t>
                  </m:r>
                </m:e>
              </m:d>
              <m:r>
                <w:rPr>
                  <w:rFonts w:ascii="Cambria Math" w:hAnsi="Cambria Math"/>
                </w:rPr>
                <m:t xml:space="preserve">+</m:t>
              </m:r>
              <m:d>
                <m:dPr>
                  <m:begChr m:val="("/>
                  <m:endChr m:val=")"/>
                </m:dPr>
                <m:e>
                  <m:r>
                    <w:rPr>
                      <w:rFonts w:ascii="Cambria Math" w:hAnsi="Cambria Math"/>
                    </w:rPr>
                    <m:t xml:space="preserve">TEnePEMC</m:t>
                  </m:r>
                  <m:r>
                    <w:rPr>
                      <w:rFonts w:ascii="Cambria Math" w:hAnsi="Cambria Math"/>
                    </w:rPr>
                    <m:t xml:space="preserve">×</m:t>
                  </m:r>
                  <m:r>
                    <w:rPr>
                      <w:rFonts w:ascii="Cambria Math" w:hAnsi="Cambria Math"/>
                    </w:rPr>
                    <m:t xml:space="preserve">EnePEMCIndex</m:t>
                  </m:r>
                </m:e>
              </m:d>
            </m:oMath>
          </w:p>
          <w:p>
            <w:pPr>
              <w:pStyle w:val="Normal"/>
              <w:widowControl w:val="false"/>
              <w:spacing w:lineRule="auto" w:line="240" w:before="0" w:after="0"/>
              <w:jc w:val="center"/>
              <w:rPr/>
            </w:pPr>
            <w:r>
              <w:rPr/>
            </w:r>
            <m:oMath xmlns:m="http://schemas.openxmlformats.org/officeDocument/2006/math">
              <m:r>
                <w:rPr>
                  <w:rFonts w:ascii="Cambria Math" w:hAnsi="Cambria Math"/>
                </w:rPr>
                <m:t xml:space="preserve">+</m:t>
              </m:r>
              <m:d>
                <m:dPr>
                  <m:begChr m:val="("/>
                  <m:endChr m:val=")"/>
                </m:dPr>
                <m:e>
                  <m:r>
                    <w:rPr>
                      <w:rFonts w:ascii="Cambria Math" w:hAnsi="Cambria Math"/>
                    </w:rPr>
                    <m:t xml:space="preserve">TEnePAML</m:t>
                  </m:r>
                  <m:r>
                    <w:rPr>
                      <w:rFonts w:ascii="Cambria Math" w:hAnsi="Cambria Math"/>
                    </w:rPr>
                    <m:t xml:space="preserve">×</m:t>
                  </m:r>
                  <m:r>
                    <w:rPr>
                      <w:rFonts w:ascii="Cambria Math" w:hAnsi="Cambria Math"/>
                    </w:rPr>
                    <m:t xml:space="preserve">EnePAMLIn</m:t>
                  </m:r>
                  <m:r>
                    <w:rPr>
                      <w:rFonts w:ascii="Cambria Math" w:hAnsi="Cambria Math"/>
                    </w:rPr>
                    <m:t xml:space="preserve">dex</m:t>
                  </m:r>
                </m:e>
              </m:d>
              <m:r>
                <w:rPr>
                  <w:rFonts w:ascii="Cambria Math" w:hAnsi="Cambria Math"/>
                </w:rPr>
                <m:t xml:space="preserve">+</m:t>
              </m:r>
              <m:d>
                <m:dPr>
                  <m:begChr m:val="("/>
                  <m:endChr m:val=")"/>
                </m:dPr>
                <m:e>
                  <m:r>
                    <w:rPr>
                      <w:rFonts w:ascii="Cambria Math" w:hAnsi="Cambria Math"/>
                    </w:rPr>
                    <m:t xml:space="preserve">TEnePEML</m:t>
                  </m:r>
                  <m:r>
                    <w:rPr>
                      <w:rFonts w:ascii="Cambria Math" w:hAnsi="Cambria Math"/>
                    </w:rPr>
                    <m:t xml:space="preserve">×</m:t>
                  </m:r>
                  <m:r>
                    <w:rPr>
                      <w:rFonts w:ascii="Cambria Math" w:hAnsi="Cambria Math"/>
                    </w:rPr>
                    <m:t xml:space="preserve">EnePEMLIndex</m:t>
                  </m:r>
                </m:e>
              </m:d>
            </m:oMath>
          </w:p>
          <w:p>
            <w:pPr>
              <w:pStyle w:val="Normal"/>
              <w:widowControl w:val="false"/>
              <w:spacing w:lineRule="auto" w:line="240" w:before="0" w:after="0"/>
              <w:jc w:val="center"/>
              <w:rPr/>
            </w:pPr>
            <w:r>
              <w:rPr/>
            </w:r>
            <m:oMath xmlns:m="http://schemas.openxmlformats.org/officeDocument/2006/math">
              <m:r>
                <w:rPr>
                  <w:rFonts w:ascii="Cambria Math" w:hAnsi="Cambria Math"/>
                </w:rPr>
                <m:t xml:space="preserve">+</m:t>
              </m:r>
              <m:d>
                <m:dPr>
                  <m:begChr m:val="("/>
                  <m:endChr m:val=")"/>
                </m:dPr>
                <m:e>
                  <m:r>
                    <w:rPr>
                      <w:rFonts w:ascii="Cambria Math" w:hAnsi="Cambria Math"/>
                    </w:rPr>
                    <m:t xml:space="preserve">TEneAMC</m:t>
                  </m:r>
                  <m:r>
                    <w:rPr>
                      <w:rFonts w:ascii="Cambria Math" w:hAnsi="Cambria Math"/>
                    </w:rPr>
                    <m:t xml:space="preserve">×</m:t>
                  </m:r>
                  <m:r>
                    <w:rPr>
                      <w:rFonts w:ascii="Cambria Math" w:hAnsi="Cambria Math"/>
                    </w:rPr>
                    <m:t xml:space="preserve">EneAMCIndex</m:t>
                  </m:r>
                </m:e>
              </m:d>
              <m:r>
                <w:rPr>
                  <w:rFonts w:ascii="Cambria Math" w:hAnsi="Cambria Math"/>
                </w:rPr>
                <m:t xml:space="preserve">+</m:t>
              </m:r>
              <m:d>
                <m:dPr>
                  <m:begChr m:val="("/>
                  <m:endChr m:val=")"/>
                </m:dPr>
                <m:e>
                  <m:r>
                    <w:rPr>
                      <w:rFonts w:ascii="Cambria Math" w:hAnsi="Cambria Math"/>
                    </w:rPr>
                    <m:t xml:space="preserve">TEneAML</m:t>
                  </m:r>
                  <m:r>
                    <w:rPr>
                      <w:rFonts w:ascii="Cambria Math" w:hAnsi="Cambria Math"/>
                    </w:rPr>
                    <m:t xml:space="preserve">×</m:t>
                  </m:r>
                  <m:r>
                    <w:rPr>
                      <w:rFonts w:ascii="Cambria Math" w:hAnsi="Cambria Math"/>
                    </w:rPr>
                    <m:t xml:space="preserve">EneAMLIndex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(58)</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0</m:t>
            </m:r>
          </m:sub>
        </m:sSub>
      </m:oMath>
      <w:r>
        <w:rPr>
          <w:color w:val="auto"/>
          <w:sz w:val="20"/>
          <w:szCs w:val="20"/>
        </w:rPr>
        <w:t xml:space="preserve">= Valor total das despesas e custos com energia elétrica realizados de </w:t>
      </w:r>
      <w:r>
        <w:rPr>
          <w:i/>
          <w:color w:val="auto"/>
          <w:sz w:val="20"/>
          <w:szCs w:val="20"/>
        </w:rPr>
        <w:t>1;..;n</w:t>
      </w:r>
      <w:r>
        <w:rPr>
          <w:color w:val="auto"/>
          <w:sz w:val="20"/>
          <w:szCs w:val="20"/>
        </w:rPr>
        <w:t xml:space="preserve"> a valores históricos (faturados pelo(s) prestador(es) de energia);</w:t>
      </w:r>
    </w:p>
    <w:p>
      <w:pPr>
        <w:pStyle w:val="AaaaaaaRapido"/>
        <w:tabs>
          <w:tab w:val="clear" w:pos="720"/>
          <w:tab w:val="left" w:pos="1519" w:leader="none"/>
        </w:tabs>
        <w:spacing w:lineRule="auto" w:line="240" w:before="0" w:after="0"/>
        <w:ind w:hanging="0"/>
        <w:rPr>
          <w:color w:val="auto"/>
        </w:rPr>
      </w:pPr>
      <w:r>
        <w:rPr/>
      </w:r>
      <m:oMath xmlns:m="http://schemas.openxmlformats.org/officeDocument/2006/math">
        <m:sSub>
          <m:e>
            <m:r>
              <w:rPr>
                <w:rFonts w:ascii="Cambria Math" w:hAnsi="Cambria Math"/>
              </w:rPr>
              <m:t xml:space="preserve">TEE</m:t>
            </m:r>
          </m:e>
          <m:sub>
            <m:r>
              <w:rPr>
                <w:rFonts w:ascii="Cambria Math" w:hAnsi="Cambria Math"/>
              </w:rPr>
              <m:t xml:space="preserve">P</m:t>
            </m:r>
            <m:r>
              <w:rPr>
                <w:rFonts w:ascii="Cambria Math" w:hAnsi="Cambria Math"/>
              </w:rPr>
              <m:t xml:space="preserve">1</m:t>
            </m:r>
          </m:sub>
        </m:sSub>
      </m:oMath>
      <w:r>
        <w:rPr>
          <w:color w:val="auto"/>
          <w:sz w:val="20"/>
          <w:szCs w:val="20"/>
        </w:rPr>
        <w:t xml:space="preserve">= Valor total das despesas e custos com energia elétrica realizados de </w:t>
      </w:r>
      <w:r>
        <w:rPr>
          <w:i/>
          <w:color w:val="auto"/>
          <w:sz w:val="20"/>
          <w:szCs w:val="20"/>
        </w:rPr>
        <w:t>1;..;n</w:t>
      </w:r>
      <w:r>
        <w:rPr>
          <w:color w:val="auto"/>
          <w:sz w:val="20"/>
          <w:szCs w:val="20"/>
        </w:rPr>
        <w:t xml:space="preserve"> a valores atualizados da data-base inicial até a data base-final;</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TEnePAMC</m:t>
        </m:r>
      </m:oMath>
      <w:r>
        <w:rPr>
          <w:rFonts w:cs="Times New Roman" w:ascii="Times New Roman" w:hAnsi="Times New Roman"/>
          <w:sz w:val="20"/>
          <w:szCs w:val="20"/>
        </w:rPr>
        <w:t>= Valor total das despesas e custos com energia elétrica na prestação dos serviços (ambiente produtivo) de abastecimento de água no intervalo de tempo em análise (deduzidos os créditos tributários),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TEnePEMC</m:t>
        </m:r>
      </m:oMath>
      <w:r>
        <w:rPr>
          <w:rFonts w:cs="Times New Roman" w:ascii="Times New Roman" w:hAnsi="Times New Roman"/>
          <w:sz w:val="20"/>
          <w:szCs w:val="20"/>
        </w:rPr>
        <w:t>= Valor total das despesas e custos com energia elétrica na prestação dos serviços (ambiente produtivo) de esgotamento sanitário no intervalo de tempo em análise (deduzidos os créditos tributários),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TEnePAML</m:t>
        </m:r>
      </m:oMath>
      <w:r>
        <w:rPr>
          <w:rFonts w:cs="Times New Roman" w:ascii="Times New Roman" w:hAnsi="Times New Roman"/>
          <w:sz w:val="20"/>
          <w:szCs w:val="20"/>
        </w:rPr>
        <w:t>= Valor total das despesas e custos com energia elétrica na prestação dos serviços (ambiente produtivo) de abastecimento de água no intervalo de tempo em análise (deduzidos os créditos tributários), proveniente do mercado livre;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TEnePEML</m:t>
        </m:r>
      </m:oMath>
      <w:r>
        <w:rPr>
          <w:rFonts w:cs="Times New Roman" w:ascii="Times New Roman" w:hAnsi="Times New Roman"/>
          <w:sz w:val="20"/>
          <w:szCs w:val="20"/>
        </w:rPr>
        <w:t>= Valor total das despesas e custos com energia elétrica na prestação dos serviços (ambiente produtivo) de esgotamento sanitário no intervalo de tempo em análise (deduzidos os créditos tributários), proveniente do mercado livre;</w:t>
      </w:r>
    </w:p>
    <w:p>
      <w:pPr>
        <w:pStyle w:val="Normal"/>
        <w:spacing w:lineRule="auto" w:line="240" w:before="0" w:after="0"/>
        <w:jc w:val="both"/>
        <w:rPr/>
      </w:pPr>
      <w:r>
        <w:rPr/>
      </w:r>
      <m:oMath xmlns:m="http://schemas.openxmlformats.org/officeDocument/2006/math">
        <m:r>
          <w:rPr>
            <w:rFonts w:ascii="Cambria Math" w:hAnsi="Cambria Math"/>
          </w:rPr>
          <m:t xml:space="preserve">TEneAMC</m:t>
        </m:r>
      </m:oMath>
      <w:r>
        <w:rPr>
          <w:rFonts w:cs="Times New Roman" w:ascii="Times New Roman" w:hAnsi="Times New Roman"/>
          <w:sz w:val="20"/>
          <w:szCs w:val="20"/>
        </w:rPr>
        <w:t>= Valor total das despesas com energia elétrica nas atividades de gestão e apoio (ambiente administrativo) no intervalo de tempo em análise (deduzidos os créditos tributários),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TEneAML</m:t>
        </m:r>
      </m:oMath>
      <w:r>
        <w:rPr>
          <w:rFonts w:cs="Times New Roman" w:ascii="Times New Roman" w:hAnsi="Times New Roman"/>
          <w:sz w:val="20"/>
          <w:szCs w:val="20"/>
        </w:rPr>
        <w:t>= Valor total das despesas com energia elétrica nas atividades de gestão e apoio (ambiente administrativo) no intervalo de tempo em análise (deduzidos os créditos tributários), proveniente do mercado livre;</w:t>
      </w:r>
    </w:p>
    <w:p>
      <w:pPr>
        <w:pStyle w:val="Normal"/>
        <w:spacing w:lineRule="auto" w:line="240" w:before="0" w:after="0"/>
        <w:jc w:val="both"/>
        <w:rPr/>
      </w:pPr>
      <w:r>
        <w:rPr/>
      </w:r>
      <m:oMath xmlns:m="http://schemas.openxmlformats.org/officeDocument/2006/math">
        <m:r>
          <w:rPr>
            <w:rFonts w:ascii="Cambria Math" w:hAnsi="Cambria Math"/>
          </w:rPr>
          <m:t xml:space="preserve">EnePAMCIndex</m:t>
        </m:r>
      </m:oMath>
      <w:r>
        <w:rPr>
          <w:rFonts w:cs="Times New Roman" w:ascii="Times New Roman" w:hAnsi="Times New Roman"/>
          <w:sz w:val="20"/>
          <w:szCs w:val="20"/>
        </w:rPr>
        <w:t>= Índice de reajuste das despesas e custos com energia elétrica consumida na prestação dos serviços (ambiente produtivo) de abastecimento de água no intervalo de tempo em análise, proveniente do mercado cativo;</w:t>
      </w:r>
    </w:p>
    <w:p>
      <w:pPr>
        <w:pStyle w:val="Normal"/>
        <w:spacing w:lineRule="auto" w:line="240" w:before="0" w:after="0"/>
        <w:jc w:val="both"/>
        <w:rPr/>
      </w:pPr>
      <w:r>
        <w:rPr/>
      </w:r>
      <m:oMath xmlns:m="http://schemas.openxmlformats.org/officeDocument/2006/math">
        <m:r>
          <w:rPr>
            <w:rFonts w:ascii="Cambria Math" w:hAnsi="Cambria Math"/>
          </w:rPr>
          <m:t xml:space="preserve">EnePEMCIndex</m:t>
        </m:r>
      </m:oMath>
      <w:r>
        <w:rPr>
          <w:rFonts w:cs="Times New Roman" w:ascii="Times New Roman" w:hAnsi="Times New Roman"/>
          <w:sz w:val="20"/>
          <w:szCs w:val="20"/>
        </w:rPr>
        <w:t>= Índice de reajuste das despesas e custos com energia elétrica consumida na prestação dos serviços (ambiente produtivo) de esgotamento sanitário no intervalo de tempo em análise, proveniente do mercado cativo;</w:t>
      </w:r>
    </w:p>
    <w:p>
      <w:pPr>
        <w:pStyle w:val="Normal"/>
        <w:spacing w:lineRule="auto" w:line="240" w:before="0" w:after="0"/>
        <w:jc w:val="both"/>
        <w:rPr/>
      </w:pPr>
      <w:r>
        <w:rPr/>
      </w:r>
      <m:oMath xmlns:m="http://schemas.openxmlformats.org/officeDocument/2006/math">
        <m:r>
          <w:rPr>
            <w:rFonts w:ascii="Cambria Math" w:hAnsi="Cambria Math"/>
          </w:rPr>
          <m:t xml:space="preserve">EnePAMLIndex</m:t>
        </m:r>
      </m:oMath>
      <w:r>
        <w:rPr>
          <w:rFonts w:cs="Times New Roman" w:ascii="Times New Roman" w:hAnsi="Times New Roman"/>
          <w:sz w:val="20"/>
          <w:szCs w:val="20"/>
        </w:rPr>
        <w:t>= Índice de reajuste das despesas e custos com energia elétrica consumida na prestação dos serviços (ambiente produtivo) de abastecimento de água no intervalo de tempo em análise, proveniente do mercado livre;</w:t>
      </w:r>
    </w:p>
    <w:p>
      <w:pPr>
        <w:pStyle w:val="Normal"/>
        <w:spacing w:lineRule="auto" w:line="240" w:before="0" w:after="0"/>
        <w:jc w:val="both"/>
        <w:rPr/>
      </w:pPr>
      <w:r>
        <w:rPr/>
      </w:r>
      <m:oMath xmlns:m="http://schemas.openxmlformats.org/officeDocument/2006/math">
        <m:r>
          <w:rPr>
            <w:rFonts w:ascii="Cambria Math" w:hAnsi="Cambria Math"/>
          </w:rPr>
          <m:t xml:space="preserve">EnePEMLIndex</m:t>
        </m:r>
      </m:oMath>
      <w:r>
        <w:rPr>
          <w:rFonts w:cs="Times New Roman" w:ascii="Times New Roman" w:hAnsi="Times New Roman"/>
          <w:sz w:val="20"/>
          <w:szCs w:val="20"/>
        </w:rPr>
        <w:t>= Índice de reajuste das despesas e custos com energia elétrica consumida na prestação dos serviços (ambiente produtivo) de esgotamento sanitário no intervalo de tempo em análise, proveniente do mercado livre;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EneAMCIndex</m:t>
        </m:r>
      </m:oMath>
      <w:r>
        <w:rPr>
          <w:rFonts w:cs="Times New Roman" w:ascii="Times New Roman" w:hAnsi="Times New Roman"/>
          <w:sz w:val="20"/>
          <w:szCs w:val="20"/>
        </w:rPr>
        <w:t>= Índice de reajuste das despesas com energia elétrica consumida na estrutura administrativa e comercial no intervalo de tempo em análise, proveniente do mercado cativo;</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EneAMLIndex</m:t>
        </m:r>
      </m:oMath>
      <w:r>
        <w:rPr>
          <w:rFonts w:cs="Times New Roman" w:ascii="Times New Roman" w:hAnsi="Times New Roman"/>
          <w:sz w:val="20"/>
          <w:szCs w:val="20"/>
        </w:rPr>
        <w:t>= Índice de reajuste das despesas com energia elétrica consumida na estrutura administrativa e comercial no intervalo de tempo em análise, proveniente do mercado livre.</w:t>
      </w:r>
    </w:p>
    <w:p>
      <w:pPr>
        <w:pStyle w:val="AaaaaaaRapido"/>
        <w:tabs>
          <w:tab w:val="clear" w:pos="720"/>
          <w:tab w:val="left" w:pos="1519" w:leader="none"/>
        </w:tabs>
        <w:spacing w:lineRule="auto" w:line="240" w:before="0" w:after="0"/>
        <w:ind w:hanging="0"/>
        <w:jc w:val="left"/>
        <w:rPr>
          <w:color w:val="auto"/>
        </w:rPr>
      </w:pPr>
      <w:r>
        <w:rPr>
          <w:color w:val="auto"/>
        </w:rPr>
      </w:r>
    </w:p>
    <w:p>
      <w:pPr>
        <w:pStyle w:val="Ttulo11"/>
        <w:numPr>
          <w:ilvl w:val="0"/>
          <w:numId w:val="0"/>
        </w:numPr>
        <w:ind w:left="432" w:hanging="432"/>
        <w:rPr/>
      </w:pPr>
      <w:bookmarkStart w:id="26" w:name="_Toc109911961"/>
      <w:bookmarkStart w:id="27" w:name="_Toc118711712"/>
      <w:r>
        <w:rPr/>
        <w:t>3.1.4 Despesas e custos com outros serviços de terceiros</w:t>
      </w:r>
      <w:bookmarkEnd w:id="26"/>
      <w:bookmarkEnd w:id="27"/>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Em relação aos outros serviços de terceiros, para efeito desse estudo, são considerados todos os serviços prestados por terceiros, exceto a parcela da energia elétrica. Para fins desta metodologia são as mesmas despesas e custos estabelecidos na Nota Técnica 001/2018 – ARSBAN:</w:t>
      </w:r>
    </w:p>
    <w:p>
      <w:pPr>
        <w:pStyle w:val="AaaaaaaRapido"/>
        <w:spacing w:lineRule="auto" w:line="240"/>
        <w:ind w:left="1418" w:hanging="0"/>
        <w:rPr/>
      </w:pPr>
      <w:r>
        <w:rPr>
          <w:sz w:val="20"/>
          <w:szCs w:val="20"/>
        </w:rPr>
        <w:t>Serviços de Operação de Sistemas; Serviços de Conservação e Manutenção de Bens Administrativos; Serviços de Limpeza e Higiene; Serviços Técnicos Profissionais; Serviços de Consultoria; Serviços de Processamento de Dados; Serviços de Cadastramento, Leitura de Hidrômetros e Entrega de Contas; Serviços de Veiculação de Publicidade e Propaganda; Serviços de Comunicação e Transmissão de Dados; Serviços de Vigilância; Fretes e Carretos; Locações de Máquinas, Equipamentos e Veículos; Anúncios e Editais; Encargos Sociais sobre Serviços de Terceiros; Serviços de Cortes: Religações e Lacre de Segurança; Serviços de Laboratórios; Serviços Gráficos, Cópias e Encadernações; Estagiários; Aluguéis de Imóveis; Tarifas Bancárias; Serviços de Cobrança e Arrecadação; Serviços de Manutenção Eletromecânica; Serviços de Manutenção de Veículos; Serviços de Movimentação, Carga e Descarga de Materiais; Serviços de Desenvolvimento e Manutenção Operacional; Serviços de Manutenção de Redes; Serviços de Administração com Cartão; Serviços Fotográficos, Produção e Gravação Audiovisual.</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Como se pode observar, existe uma diversidade de serviços prestados por terceiros elencados na nota técnica de metodologia de revisão tarifária, não permitindo o reconhecimento regulatório de “</w:t>
      </w:r>
      <w:bookmarkStart w:id="28" w:name="_Hlk119568528"/>
      <w:r>
        <w:rPr>
          <w:rFonts w:cs="Times New Roman" w:ascii="Times New Roman" w:hAnsi="Times New Roman"/>
          <w:i/>
          <w:sz w:val="24"/>
          <w:szCs w:val="24"/>
        </w:rPr>
        <w:t xml:space="preserve">Serviços de Veiculação de Publicidade e Propaganda estranhas ao caráter educativo e normativo sobre os serviços prestados </w:t>
      </w:r>
      <w:bookmarkEnd w:id="28"/>
      <w:r>
        <w:rPr>
          <w:rFonts w:cs="Times New Roman" w:ascii="Times New Roman" w:hAnsi="Times New Roman"/>
          <w:i/>
          <w:sz w:val="24"/>
          <w:szCs w:val="24"/>
        </w:rPr>
        <w:t>nem serviços de terceiros contratados ou previstos para serem realizados em estruturas não produtivas (ociosas) e em bens para investimentos</w:t>
      </w:r>
      <w:r>
        <w:rPr>
          <w:rFonts w:cs="Times New Roman" w:ascii="Times New Roman" w:hAnsi="Times New Roman"/>
          <w:sz w:val="24"/>
          <w:szCs w:val="24"/>
        </w:rPr>
        <w:t>” (Nota Técnica 001/2018 – ARSBAN).</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Nos pleitos tarifários de reajuste (sempre com metodologias propostas pela concessionária), foi utilizado o INCC-DI para todas as despesas e custos com outros serviços de terceiros. Contudo, de 23 decisões regulatórias mais recentes, envolvendo 21 agências reguladoras, sobre a indexação dos outros serviços de terceiros proposta pela concessionária, somente a ARSEC, que regula ÁGUAS CUIABÁ, também seguiu esse índice, ou seja, não é convergente com a tendência regulatória, que se concentra na aplicação do IPCA em, pelo menos, 11 agências reguladoras, justificando que o modelo anterior praticado necessita ser corrigido para contemplação justa da atualização monetária no respectivo componente tarifário.</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Conforme informações fornecidas pela concessionária (SEI/SEARH - 16211503 – Relatório), os outros serviços de terceiros estão divididos em três categorias de contrato, sendo cada uma delas atualizadas por índices diferente: 1ª) Contratos de serviços de engenharia, usualmente atualizados pelo INCC; 2ª) Contratos de serviços comuns, comumente atualizados pelo IGP; e; 3ª) Contratos de terceirização (locação) de mão de obra, predominantemente atualizados pelo IPCA. Para fins desta nota técnica, as atualizações pelo IGP são baseadas no IGP-DI, conforme notação matemática 11 para </w:t>
      </w:r>
      <w:r>
        <w:rPr/>
      </w:r>
      <m:oMath xmlns:m="http://schemas.openxmlformats.org/officeDocument/2006/math">
        <m:r>
          <w:rPr>
            <w:rFonts w:ascii="Cambria Math" w:hAnsi="Cambria Math"/>
          </w:rPr>
          <m:t xml:space="preserve">IG</m:t>
        </m:r>
        <m:r>
          <w:rPr>
            <w:rFonts w:ascii="Cambria Math" w:hAnsi="Cambria Math"/>
          </w:rPr>
          <m:t xml:space="preserve">PIndex</m:t>
        </m:r>
      </m:oMath>
      <w:r>
        <w:rPr>
          <w:rFonts w:cs="Times New Roman" w:ascii="Times New Roman" w:hAnsi="Times New Roman"/>
          <w:sz w:val="24"/>
          <w:szCs w:val="24"/>
        </w:rPr>
        <w:t xml:space="preserve"> e as atualizações pelo IPCA calculadas via formulação 19 para o resultado do </w:t>
      </w:r>
      <w:r>
        <w:rPr/>
      </w:r>
      <m:oMath xmlns:m="http://schemas.openxmlformats.org/officeDocument/2006/math">
        <m:r>
          <w:rPr>
            <w:rFonts w:ascii="Cambria Math" w:hAnsi="Cambria Math"/>
          </w:rPr>
          <m:t xml:space="preserve">IGPIndex</m:t>
        </m:r>
      </m:oMath>
      <w:r>
        <w:rPr>
          <w:rFonts w:cs="Times New Roman" w:ascii="Times New Roman" w:hAnsi="Times New Roman"/>
          <w:sz w:val="24"/>
          <w:szCs w:val="24"/>
        </w:rPr>
        <w:t>. A notação matemática 59 apresenta o cálculo do índice baseado no INCC (</w:t>
      </w:r>
      <w:r>
        <w:rPr/>
      </w:r>
      <m:oMath xmlns:m="http://schemas.openxmlformats.org/officeDocument/2006/math">
        <m:r>
          <w:rPr>
            <w:rFonts w:ascii="Cambria Math" w:hAnsi="Cambria Math"/>
          </w:rPr>
          <m:t xml:space="preserve">INCCIndex</m:t>
        </m:r>
      </m:oMath>
      <w:r>
        <w:rPr>
          <w:rFonts w:cs="Times New Roman" w:ascii="Times New Roman" w:hAnsi="Times New Roman"/>
          <w:sz w:val="24"/>
          <w:szCs w:val="24"/>
        </w:rPr>
        <w:t>.</w:t>
      </w:r>
    </w:p>
    <w:tbl>
      <w:tblPr>
        <w:tblW w:w="8821" w:type="dxa"/>
        <w:jc w:val="left"/>
        <w:tblInd w:w="-284" w:type="dxa"/>
        <w:tblCellMar>
          <w:top w:w="0" w:type="dxa"/>
          <w:left w:w="108" w:type="dxa"/>
          <w:bottom w:w="0" w:type="dxa"/>
          <w:right w:w="108" w:type="dxa"/>
        </w:tblCellMar>
        <w:tblLook w:firstRow="1" w:noVBand="1" w:lastRow="0" w:firstColumn="1" w:lastColumn="0" w:noHBand="0" w:val="04a0"/>
      </w:tblPr>
      <w:tblGrid>
        <w:gridCol w:w="7939"/>
        <w:gridCol w:w="881"/>
      </w:tblGrid>
      <w:tr>
        <w:trPr/>
        <w:tc>
          <w:tcPr>
            <w:tcW w:w="7939" w:type="dxa"/>
            <w:tcBorders/>
            <w:shd w:color="auto" w:fill="auto" w:val="clear"/>
          </w:tcPr>
          <w:p>
            <w:pPr>
              <w:pStyle w:val="Normal"/>
              <w:widowControl w:val="false"/>
              <w:spacing w:lineRule="auto" w:line="360" w:before="0" w:after="0"/>
              <w:ind w:hanging="108"/>
              <w:jc w:val="center"/>
              <w:rPr/>
            </w:pPr>
            <w:r>
              <w:rPr/>
            </w:r>
            <m:oMath xmlns:m="http://schemas.openxmlformats.org/officeDocument/2006/math">
              <m:r>
                <w:rPr>
                  <w:rFonts w:ascii="Cambria Math" w:hAnsi="Cambria Math"/>
                </w:rPr>
                <m:t xml:space="preserve">INCCIndex</m:t>
              </m:r>
              <m:r>
                <w:rPr>
                  <w:rFonts w:ascii="Cambria Math" w:hAnsi="Cambria Math"/>
                </w:rPr>
                <m:t xml:space="preserve">=</m:t>
              </m:r>
              <m:d>
                <m:dPr>
                  <m:begChr m:val="["/>
                  <m:endChr m:val="]"/>
                </m:dPr>
                <m:e>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%INCC</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num>
                        <m:den>
                          <m:r>
                            <w:rPr>
                              <w:rFonts w:ascii="Cambria Math" w:hAnsi="Cambria Math"/>
                            </w:rPr>
                            <m:t xml:space="preserve">100</m:t>
                          </m:r>
                        </m:den>
                      </m:f>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%INCC</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r>
                            <w:rPr>
                              <w:rFonts w:ascii="Cambria Math" w:hAnsi="Cambria Math"/>
                            </w:rPr>
                            <m:t xml:space="preserve">100</m:t>
                          </m:r>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%INCC</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r>
                            <w:rPr>
                              <w:rFonts w:ascii="Cambria Math" w:hAnsi="Cambria Math"/>
                            </w:rPr>
                            <m:t xml:space="preserve">100</m:t>
                          </m:r>
                        </m:den>
                      </m:f>
                    </m:e>
                  </m:d>
                </m:e>
              </m:d>
            </m:oMath>
          </w:p>
        </w:tc>
        <w:tc>
          <w:tcPr>
            <w:tcW w:w="88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(59)</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INCCIndex</m:t>
        </m:r>
      </m:oMath>
      <w:r>
        <w:rPr>
          <w:rFonts w:cs="Times New Roman" w:ascii="Times New Roman" w:hAnsi="Times New Roman"/>
          <w:sz w:val="20"/>
          <w:szCs w:val="20"/>
        </w:rPr>
        <w:t>= Índice de reajuste das despesas e custos indexados pelo INCC;</w:t>
      </w:r>
    </w:p>
    <w:p>
      <w:pPr>
        <w:pStyle w:val="Normal"/>
        <w:spacing w:lineRule="auto" w:line="240" w:before="0" w:after="0"/>
        <w:jc w:val="both"/>
        <w:rPr/>
      </w:pPr>
      <w:r>
        <w:rPr/>
      </w:r>
      <m:oMath xmlns:m="http://schemas.openxmlformats.org/officeDocument/2006/math">
        <m:sSub>
          <m:e>
            <m:r>
              <w:rPr>
                <w:rFonts w:ascii="Cambria Math" w:hAnsi="Cambria Math"/>
              </w:rPr>
              <m:t xml:space="preserve">%INCC</m:t>
            </m:r>
          </m:e>
          <m:sub>
            <m:r>
              <w:rPr>
                <w:rFonts w:ascii="Cambria Math" w:hAnsi="Cambria Math"/>
              </w:rPr>
              <m:t xml:space="preserve">i</m:t>
            </m:r>
          </m:sub>
        </m:sSub>
      </m:oMath>
      <w:r>
        <w:rPr>
          <w:rFonts w:cs="Times New Roman" w:ascii="Times New Roman" w:hAnsi="Times New Roman"/>
          <w:sz w:val="20"/>
          <w:szCs w:val="20"/>
        </w:rPr>
        <w:t xml:space="preserve">= Percentual do INCC no final do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ind w:firstLine="708"/>
        <w:jc w:val="both"/>
        <w:rPr/>
      </w:pPr>
      <w:r>
        <w:rPr/>
      </w:r>
    </w:p>
    <w:p>
      <w:pPr>
        <w:pStyle w:val="AaaaaaaRapido"/>
        <w:tabs>
          <w:tab w:val="clear" w:pos="720"/>
          <w:tab w:val="left" w:pos="580" w:leader="none"/>
        </w:tabs>
        <w:rPr/>
      </w:pPr>
      <w:r>
        <w:rPr/>
        <w:t>Com relação aos valores para ponderação, referente às despesas e custos com outros serviços de terceiros, serão os valores efetivamente realizados a contar da data base, segregados conforme as categorias de contratos utilizadas pela concessionária. As formulações matemáticas 60 a 62 representam os métodos de cálculos dos valores de cada subcomponente (despesas e custos com outros serviços de terceiros de engenharia, despesas e custos com outros serviços de terceiros comuns e outros serviços de terceiros com terceirização/locação de mão de obra), deste componente tarifário.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TOSTEng</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OSTEng</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(60)</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TOSTCom</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r>
                    <w:rPr>
                      <w:rFonts w:ascii="Cambria Math" w:hAnsi="Cambria Math"/>
                    </w:rPr>
                    <m:t xml:space="preserve">OST</m:t>
                  </m:r>
                  <m:sSub>
                    <m:e>
                      <m:r>
                        <w:rPr>
                          <w:rFonts w:ascii="Cambria Math" w:hAnsi="Cambria Math"/>
                        </w:rPr>
                        <m:t xml:space="preserve">Com</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(61)</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TOSTLoc</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r>
                    <w:rPr>
                      <w:rFonts w:ascii="Cambria Math" w:hAnsi="Cambria Math"/>
                    </w:rPr>
                    <m:t xml:space="preserve">OST</m:t>
                  </m:r>
                  <m:sSub>
                    <m:e>
                      <m:r>
                        <w:rPr>
                          <w:rFonts w:ascii="Cambria Math" w:hAnsi="Cambria Math"/>
                        </w:rPr>
                        <m:t xml:space="preserve">Loc</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(62)</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TOSTEng</m:t>
        </m:r>
      </m:oMath>
      <w:r>
        <w:rPr>
          <w:rFonts w:cs="Times New Roman" w:ascii="Times New Roman" w:hAnsi="Times New Roman"/>
          <w:sz w:val="20"/>
          <w:szCs w:val="20"/>
        </w:rPr>
        <w:t>=Valor total das despesas e custos com outros serviços de terceiros de engenharia no intervalo de tempo em análise (deduzidos os créditos tributários, se houver);</w:t>
      </w:r>
    </w:p>
    <w:p>
      <w:pPr>
        <w:pStyle w:val="Normal"/>
        <w:spacing w:lineRule="auto" w:line="240" w:before="0" w:after="0"/>
        <w:jc w:val="both"/>
        <w:rPr/>
      </w:pPr>
      <w:r>
        <w:rPr/>
      </w:r>
      <m:oMath xmlns:m="http://schemas.openxmlformats.org/officeDocument/2006/math">
        <m:r>
          <w:rPr>
            <w:rFonts w:ascii="Cambria Math" w:hAnsi="Cambria Math"/>
          </w:rPr>
          <m:t xml:space="preserve">TOSTCom</m:t>
        </m:r>
      </m:oMath>
      <w:r>
        <w:rPr>
          <w:rFonts w:cs="Times New Roman" w:ascii="Times New Roman" w:hAnsi="Times New Roman"/>
          <w:sz w:val="20"/>
          <w:szCs w:val="20"/>
        </w:rPr>
        <w:t>= Valor total das despesas e custos com outros serviços de terceiros comuns no intervalo de tempo em análise (deduzidos os créditos tributários, se houver);</w:t>
      </w:r>
    </w:p>
    <w:p>
      <w:pPr>
        <w:pStyle w:val="Normal"/>
        <w:spacing w:lineRule="auto" w:line="240" w:before="0" w:after="0"/>
        <w:jc w:val="both"/>
        <w:rPr/>
      </w:pPr>
      <w:r>
        <w:rPr/>
      </w:r>
      <m:oMath xmlns:m="http://schemas.openxmlformats.org/officeDocument/2006/math">
        <m:r>
          <w:rPr>
            <w:rFonts w:ascii="Cambria Math" w:hAnsi="Cambria Math"/>
          </w:rPr>
          <m:t xml:space="preserve">TOSTLoc</m:t>
        </m:r>
      </m:oMath>
      <w:r>
        <w:rPr>
          <w:rFonts w:cs="Times New Roman" w:ascii="Times New Roman" w:hAnsi="Times New Roman"/>
          <w:sz w:val="20"/>
          <w:szCs w:val="20"/>
        </w:rPr>
        <w:t>= Valor total das despesas e custos com outros serviços de terceiros com terceirização/locação de mão de obra no intervalo de tempo em análise (deduzidos os créditos tributários, se houver);</w:t>
      </w:r>
    </w:p>
    <w:p>
      <w:pPr>
        <w:pStyle w:val="Normal"/>
        <w:spacing w:lineRule="auto" w:line="240" w:before="0" w:after="0"/>
        <w:jc w:val="both"/>
        <w:rPr/>
      </w:pPr>
      <w:r>
        <w:rPr/>
      </w:r>
      <m:oMath xmlns:m="http://schemas.openxmlformats.org/officeDocument/2006/math">
        <m:sSub>
          <m:e>
            <m:r>
              <w:rPr>
                <w:rFonts w:ascii="Cambria Math" w:hAnsi="Cambria Math"/>
              </w:rPr>
              <m:t xml:space="preserve">OSTEng</m:t>
            </m:r>
          </m:e>
          <m:sub>
            <m:r>
              <w:rPr>
                <w:rFonts w:ascii="Cambria Math" w:hAnsi="Cambria Math"/>
              </w:rPr>
              <m:t xml:space="preserve">i</m:t>
            </m:r>
          </m:sub>
        </m:sSub>
      </m:oMath>
      <w:r>
        <w:rPr>
          <w:rFonts w:cs="Times New Roman" w:ascii="Times New Roman" w:hAnsi="Times New Roman"/>
          <w:sz w:val="20"/>
          <w:szCs w:val="20"/>
        </w:rPr>
        <w:t xml:space="preserve">=Valor total das despesas e custos com outros serviços de terceiros de engenharia no período </w:t>
      </w:r>
      <w:r>
        <w:rPr>
          <w:rFonts w:cs="Times New Roman" w:ascii="Times New Roman" w:hAnsi="Times New Roman"/>
          <w:i/>
          <w:sz w:val="20"/>
          <w:szCs w:val="20"/>
        </w:rPr>
        <w:t xml:space="preserve">i </w:t>
      </w:r>
      <w:r>
        <w:rPr>
          <w:rFonts w:cs="Times New Roman" w:ascii="Times New Roman" w:hAnsi="Times New Roman"/>
          <w:sz w:val="20"/>
          <w:szCs w:val="20"/>
        </w:rPr>
        <w:t>(deduzidos os créditos tributários, se houver);</w:t>
      </w:r>
    </w:p>
    <w:p>
      <w:pPr>
        <w:pStyle w:val="Normal"/>
        <w:spacing w:lineRule="auto" w:line="240" w:before="0" w:after="0"/>
        <w:jc w:val="both"/>
        <w:rPr/>
      </w:pPr>
      <w:r>
        <w:rPr/>
      </w:r>
      <m:oMath xmlns:m="http://schemas.openxmlformats.org/officeDocument/2006/math">
        <m:sSub>
          <m:e>
            <m:r>
              <w:rPr>
                <w:rFonts w:ascii="Cambria Math" w:hAnsi="Cambria Math"/>
              </w:rPr>
              <m:t xml:space="preserve">OSTCom</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outros serviços de terceiros comuns no período </w:t>
      </w:r>
      <w:r>
        <w:rPr>
          <w:rFonts w:cs="Times New Roman" w:ascii="Times New Roman" w:hAnsi="Times New Roman"/>
          <w:i/>
          <w:sz w:val="20"/>
          <w:szCs w:val="20"/>
        </w:rPr>
        <w:t xml:space="preserve">i </w:t>
      </w:r>
      <w:r>
        <w:rPr>
          <w:rFonts w:cs="Times New Roman" w:ascii="Times New Roman" w:hAnsi="Times New Roman"/>
          <w:sz w:val="20"/>
          <w:szCs w:val="20"/>
        </w:rPr>
        <w:t>(deduzidos os créditos tributários, se houver);</w:t>
      </w:r>
    </w:p>
    <w:p>
      <w:pPr>
        <w:pStyle w:val="Normal"/>
        <w:spacing w:lineRule="auto" w:line="240" w:before="0" w:after="0"/>
        <w:jc w:val="both"/>
        <w:rPr/>
      </w:pPr>
      <w:r>
        <w:rPr/>
      </w:r>
      <m:oMath xmlns:m="http://schemas.openxmlformats.org/officeDocument/2006/math">
        <m:sSub>
          <m:e>
            <m:r>
              <w:rPr>
                <w:rFonts w:ascii="Cambria Math" w:hAnsi="Cambria Math"/>
              </w:rPr>
              <m:t xml:space="preserve">OSTLoc</m:t>
            </m:r>
          </m:e>
          <m:sub>
            <m:r>
              <w:rPr>
                <w:rFonts w:ascii="Cambria Math" w:hAnsi="Cambria Math"/>
              </w:rPr>
              <m:t xml:space="preserve">i</m:t>
            </m:r>
          </m:sub>
        </m:sSub>
      </m:oMath>
      <w:r>
        <w:rPr>
          <w:rFonts w:cs="Times New Roman" w:ascii="Times New Roman" w:hAnsi="Times New Roman"/>
          <w:sz w:val="20"/>
          <w:szCs w:val="20"/>
        </w:rPr>
        <w:t xml:space="preserve">= Valor total das despesas e custos com outros serviços de terceiros com terceirização/locação de mão de obra no período </w:t>
      </w:r>
      <w:r>
        <w:rPr>
          <w:rFonts w:cs="Times New Roman" w:ascii="Times New Roman" w:hAnsi="Times New Roman"/>
          <w:i/>
          <w:sz w:val="20"/>
          <w:szCs w:val="20"/>
        </w:rPr>
        <w:t xml:space="preserve">i </w:t>
      </w:r>
      <w:r>
        <w:rPr>
          <w:rFonts w:cs="Times New Roman" w:ascii="Times New Roman" w:hAnsi="Times New Roman"/>
          <w:sz w:val="20"/>
          <w:szCs w:val="20"/>
        </w:rPr>
        <w:t>(deduzidos os créditos tributários, se houver);</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Em função da segregação por categorias de contrato, esta metodologia estabelece a utilização do </w:t>
      </w:r>
      <w:r>
        <w:rPr/>
      </w:r>
      <m:oMath xmlns:m="http://schemas.openxmlformats.org/officeDocument/2006/math">
        <m:r>
          <w:rPr>
            <w:rFonts w:ascii="Cambria Math" w:hAnsi="Cambria Math"/>
          </w:rPr>
          <m:t xml:space="preserve">INCCIndex</m:t>
        </m:r>
      </m:oMath>
      <w:r>
        <w:rPr>
          <w:rFonts w:cs="Times New Roman" w:ascii="Times New Roman" w:hAnsi="Times New Roman"/>
        </w:rPr>
        <w:t xml:space="preserve"> </w:t>
      </w:r>
      <w:r>
        <w:rPr>
          <w:rFonts w:cs="Times New Roman" w:ascii="Times New Roman" w:hAnsi="Times New Roman"/>
          <w:sz w:val="24"/>
          <w:szCs w:val="24"/>
        </w:rPr>
        <w:t>para as despesas e custos com outros serviços de terceiros de engenharia</w:t>
      </w:r>
      <w:r>
        <w:rPr>
          <w:rFonts w:cs="Times New Roman" w:ascii="Times New Roman" w:hAnsi="Times New Roman"/>
        </w:rPr>
        <w:t xml:space="preserve">; </w:t>
      </w:r>
      <w:r>
        <w:rPr/>
      </w:r>
      <m:oMath xmlns:m="http://schemas.openxmlformats.org/officeDocument/2006/math">
        <m:r>
          <w:rPr>
            <w:rFonts w:ascii="Cambria Math" w:hAnsi="Cambria Math"/>
          </w:rPr>
          <m:t xml:space="preserve">IGPIndex</m:t>
        </m:r>
      </m:oMath>
      <w:r>
        <w:rPr>
          <w:rFonts w:cs="Times New Roman" w:ascii="Times New Roman" w:hAnsi="Times New Roman"/>
        </w:rPr>
        <w:t xml:space="preserve"> </w:t>
      </w:r>
      <w:r>
        <w:rPr>
          <w:rFonts w:cs="Times New Roman" w:ascii="Times New Roman" w:hAnsi="Times New Roman"/>
          <w:sz w:val="24"/>
          <w:szCs w:val="24"/>
        </w:rPr>
        <w:t>para as despesas e custos com outros serviços de terceiros comuns;</w:t>
      </w:r>
      <w:r>
        <w:rPr>
          <w:rFonts w:cs="Times New Roman" w:ascii="Times New Roman" w:hAnsi="Times New Roman"/>
        </w:rPr>
        <w:t xml:space="preserve"> e; </w:t>
      </w:r>
      <w:r>
        <w:rPr/>
      </w:r>
      <m:oMath xmlns:m="http://schemas.openxmlformats.org/officeDocument/2006/math">
        <m:r>
          <w:rPr>
            <w:rFonts w:ascii="Cambria Math" w:hAnsi="Cambria Math"/>
          </w:rPr>
          <m:t xml:space="preserve">IPCAIndex</m:t>
        </m:r>
      </m:oMath>
      <w:r>
        <w:rPr>
          <w:rFonts w:cs="Times New Roman" w:ascii="Times New Roman" w:hAnsi="Times New Roman"/>
        </w:rPr>
        <w:t xml:space="preserve"> </w:t>
      </w:r>
      <w:r>
        <w:rPr>
          <w:rFonts w:cs="Times New Roman" w:ascii="Times New Roman" w:hAnsi="Times New Roman"/>
          <w:sz w:val="24"/>
          <w:szCs w:val="24"/>
        </w:rPr>
        <w:t>para outros serviços de terceiros com terceirização (locação) de mão de</w:t>
      </w:r>
      <w:r>
        <w:rPr>
          <w:rFonts w:cs="Times New Roman" w:ascii="Times New Roman" w:hAnsi="Times New Roman"/>
        </w:rPr>
        <w:t xml:space="preserve"> obra</w:t>
      </w:r>
      <w:r>
        <w:rPr>
          <w:rFonts w:cs="Times New Roman" w:ascii="Times New Roman" w:hAnsi="Times New Roman"/>
          <w:sz w:val="24"/>
          <w:szCs w:val="24"/>
        </w:rPr>
        <w:t xml:space="preserve">, que serão aplicados sobre os valores realizados e reconhecidos em cada categoria de despesas e custos com outros serviços de terceiros no intervalo de tempo em análise, conforme critérios e serviços elencados na Nota Técnica 001/2018 – ARSBAN ou outra que substituí-la. As notações matemáticas 63 e 64 foram desenhadas para os cálculos dos valores de referência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 xml:space="preserve"> da parcela de despesas e custos com outros serviços de terceiros.</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TOSTEng</m:t>
              </m:r>
              <m:r>
                <w:rPr>
                  <w:rFonts w:ascii="Cambria Math" w:hAnsi="Cambria Math"/>
                </w:rPr>
                <m:t xml:space="preserve">+</m:t>
              </m:r>
              <m:r>
                <w:rPr>
                  <w:rFonts w:ascii="Cambria Math" w:hAnsi="Cambria Math"/>
                </w:rPr>
                <m:t xml:space="preserve">TOSTCom</m:t>
              </m:r>
              <m:r>
                <w:rPr>
                  <w:rFonts w:ascii="Cambria Math" w:hAnsi="Cambria Math"/>
                </w:rPr>
                <m:t xml:space="preserve">+</m:t>
              </m:r>
              <m:r>
                <w:rPr>
                  <w:rFonts w:ascii="Cambria Math" w:hAnsi="Cambria Math"/>
                </w:rPr>
                <m:t xml:space="preserve">TOSTLoc</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(63)</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TOSTEng</m:t>
                  </m:r>
                  <m:r>
                    <w:rPr>
                      <w:rFonts w:ascii="Cambria Math" w:hAnsi="Cambria Math"/>
                    </w:rPr>
                    <m:t xml:space="preserve">×</m:t>
                  </m:r>
                  <m:r>
                    <w:rPr>
                      <w:rFonts w:ascii="Cambria Math" w:hAnsi="Cambria Math"/>
                    </w:rPr>
                    <m:t xml:space="preserve">INCCIndex</m:t>
                  </m:r>
                </m:e>
              </m:d>
              <m:r>
                <w:rPr>
                  <w:rFonts w:ascii="Cambria Math" w:hAnsi="Cambria Math"/>
                </w:rPr>
                <m:t xml:space="preserve">+</m:t>
              </m:r>
              <m:d>
                <m:dPr>
                  <m:begChr m:val="("/>
                  <m:endChr m:val=")"/>
                </m:dPr>
                <m:e>
                  <m:r>
                    <w:rPr>
                      <w:rFonts w:ascii="Cambria Math" w:hAnsi="Cambria Math"/>
                    </w:rPr>
                    <m:t xml:space="preserve">TOSTCom</m:t>
                  </m:r>
                  <m:r>
                    <w:rPr>
                      <w:rFonts w:ascii="Cambria Math" w:hAnsi="Cambria Math"/>
                    </w:rPr>
                    <m:t xml:space="preserve">×</m:t>
                  </m:r>
                  <m:r>
                    <w:rPr>
                      <w:rFonts w:ascii="Cambria Math" w:hAnsi="Cambria Math"/>
                    </w:rPr>
                    <m:t xml:space="preserve">IGPIndex</m:t>
                  </m:r>
                </m:e>
              </m:d>
              <m:r>
                <w:rPr>
                  <w:rFonts w:ascii="Cambria Math" w:hAnsi="Cambria Math"/>
                </w:rPr>
                <m:t xml:space="preserve">+</m:t>
              </m:r>
              <m:d>
                <m:dPr>
                  <m:begChr m:val="("/>
                  <m:endChr m:val=")"/>
                </m:dPr>
                <m:e>
                  <m:r>
                    <w:rPr>
                      <w:rFonts w:ascii="Cambria Math" w:hAnsi="Cambria Math"/>
                    </w:rPr>
                    <m:t xml:space="preserve">TOSTLoc</m:t>
                  </m:r>
                  <m:r>
                    <w:rPr>
                      <w:rFonts w:ascii="Cambria Math" w:hAnsi="Cambria Math"/>
                    </w:rPr>
                    <m:t xml:space="preserve">×</m:t>
                  </m:r>
                  <m:r>
                    <w:rPr>
                      <w:rFonts w:ascii="Cambria Math" w:hAnsi="Cambria Math"/>
                    </w:rPr>
                    <m:t xml:space="preserve">IPCAIndex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(64)</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com outros serviços de terceiros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TOST</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com outros serviços de terceiros realizados de </w:t>
      </w:r>
      <w:r>
        <w:rPr>
          <w:i/>
          <w:sz w:val="20"/>
          <w:szCs w:val="20"/>
        </w:rPr>
        <w:t>1;..;n</w:t>
      </w:r>
      <w:r>
        <w:rPr>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TOSTEng</m:t>
        </m:r>
      </m:oMath>
      <w:r>
        <w:rPr>
          <w:rFonts w:cs="Times New Roman" w:ascii="Times New Roman" w:hAnsi="Times New Roman"/>
          <w:sz w:val="20"/>
          <w:szCs w:val="20"/>
        </w:rPr>
        <w:t>=Valor total das despesas e custos com outros serviços de terceiros de engenharia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TOSTCom</m:t>
        </m:r>
      </m:oMath>
      <w:r>
        <w:rPr>
          <w:rFonts w:cs="Times New Roman" w:ascii="Times New Roman" w:hAnsi="Times New Roman"/>
          <w:sz w:val="20"/>
          <w:szCs w:val="20"/>
        </w:rPr>
        <w:t>= Valor total das despesas e custos com outros serviços de terceiros comuns no intervalo de tempo em análise;</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TOSTLoc</m:t>
        </m:r>
      </m:oMath>
      <w:r>
        <w:rPr>
          <w:rFonts w:cs="Times New Roman" w:ascii="Times New Roman" w:hAnsi="Times New Roman"/>
          <w:sz w:val="20"/>
          <w:szCs w:val="20"/>
        </w:rPr>
        <w:t>= Valor total das despesas e custos com outros serviços de terceiros com terceirização/locação de mão de obra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pPr>
      <w:r>
        <w:rPr/>
      </w:r>
      <m:oMath xmlns:m="http://schemas.openxmlformats.org/officeDocument/2006/math">
        <m:r>
          <w:rPr>
            <w:rFonts w:ascii="Cambria Math" w:hAnsi="Cambria Math"/>
          </w:rPr>
          <m:t xml:space="preserve">IGPIndex</m:t>
        </m:r>
      </m:oMath>
      <w:r>
        <w:rPr>
          <w:rFonts w:cs="Times New Roman" w:ascii="Times New Roman" w:hAnsi="Times New Roman"/>
          <w:sz w:val="20"/>
          <w:szCs w:val="20"/>
        </w:rPr>
        <w:t>= Índice de reajuste das despesas e custos indexados pelo IGP-DI;</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29" w:name="_Toc118711713"/>
      <w:bookmarkStart w:id="30" w:name="_Toc109911962"/>
      <w:r>
        <w:rPr/>
        <w:t>3.1.5 Despesas e custos gerais</w:t>
      </w:r>
      <w:bookmarkEnd w:id="29"/>
      <w:bookmarkEnd w:id="30"/>
    </w:p>
    <w:p>
      <w:pPr>
        <w:pStyle w:val="Normal"/>
        <w:rPr>
          <w:rFonts w:ascii="Times New Roman" w:hAnsi="Times New Roman"/>
          <w:sz w:val="24"/>
          <w:szCs w:val="24"/>
          <w:lang w:eastAsia="pt-BR"/>
        </w:rPr>
      </w:pPr>
      <w:r>
        <w:rPr>
          <w:rFonts w:ascii="Times New Roman" w:hAnsi="Times New Roman"/>
          <w:sz w:val="24"/>
          <w:szCs w:val="24"/>
          <w:lang w:eastAsia="pt-BR"/>
        </w:rPr>
      </w:r>
    </w:p>
    <w:p>
      <w:pPr>
        <w:pStyle w:val="AaaaaaaRapido"/>
        <w:rPr/>
      </w:pPr>
      <w:r>
        <w:rPr/>
        <w:t xml:space="preserve">Segundo a Nota Técnica 001/2018 – ARSBAN, são despesas e custos gerais: </w:t>
      </w:r>
      <w:r>
        <w:rPr>
          <w:i/>
        </w:rPr>
        <w:t>“Prêmios de Seguros; Diárias; Passagens; Conduções, Viagens e Estadas; Lanches e Refeições; Associações de Classes; Gastos de Representação; Indenizações por Danos a Terceiros; Livros, Jornais e Revistas; Custas Legais e Judiciais; Gastos com CIPA; Doações Exposições, Congressos e Correlatos; Programas de Proteção e Conservação Ambiental; Indenizações Trabalhistas a Terceiros; Fundos para Programas Municipais de Meio Ambiente; Honorários de Diretoria e Conselhos; Convênios e Programas de Desenvolvimento Social e Educacional; Programa Rural; Multas Trabalhistas, Cíveis e Ambientais; Outros Gastos Gerais”</w:t>
      </w:r>
      <w:r>
        <w:rPr/>
        <w:t>. Contudo a mesma nota técnica destaca que não há reconhecimento regulatório para Doações e Multas de qualquer natureza, utilizados ou consumidos em estruturas não produtivas (ociosas) e em bens para investimentos.</w:t>
      </w:r>
    </w:p>
    <w:p>
      <w:pPr>
        <w:pStyle w:val="AaaaaaaRapido"/>
        <w:spacing w:before="0" w:after="0"/>
        <w:rPr/>
      </w:pPr>
      <w:r>
        <w:rPr/>
        <w:t xml:space="preserve">Nos pleitos de reajustes tarifários anteriores, a concessionária adotou a aplicação do IPCA para o reajuste das referidas despesas e custos, sendo também utilizado em 15 decisões regulatórias, envolvendo 21 diferentes agências. Neste sentido, esta metodologia estabelece a indexação via </w:t>
      </w:r>
      <w:r>
        <w:rPr/>
      </w:r>
      <m:oMath xmlns:m="http://schemas.openxmlformats.org/officeDocument/2006/math">
        <m:r>
          <w:rPr>
            <w:rFonts w:ascii="Cambria Math" w:hAnsi="Cambria Math"/>
          </w:rPr>
          <m:t xml:space="preserve">IPCAIndex</m:t>
        </m:r>
      </m:oMath>
      <w:r>
        <w:rPr/>
        <w:t xml:space="preserve"> (ver notação matemática 16) para os valores realizados e reconhecidos das outras despesas e custos no intervalo de tempo em análise, inclusive os valores de referência </w:t>
      </w:r>
      <w:r>
        <w:rPr>
          <w:i/>
        </w:rPr>
        <w:t>P</w:t>
      </w:r>
      <w:r>
        <w:rPr>
          <w:i/>
          <w:vertAlign w:val="subscript"/>
        </w:rPr>
        <w:t>0</w:t>
      </w:r>
      <w:r>
        <w:rPr/>
        <w:t xml:space="preserve"> e </w:t>
      </w:r>
      <w:r>
        <w:rPr>
          <w:i/>
        </w:rPr>
        <w:t>P</w:t>
      </w:r>
      <w:r>
        <w:rPr>
          <w:i/>
          <w:vertAlign w:val="subscript"/>
        </w:rPr>
        <w:t>1</w:t>
      </w:r>
      <w:r>
        <w:rPr/>
        <w:t xml:space="preserve"> da parcela das outras e despesas e custos, conforme notações matemáticas 65 e 66.</w:t>
      </w:r>
    </w:p>
    <w:p>
      <w:pPr>
        <w:pStyle w:val="AaaaaaaRapido"/>
        <w:spacing w:before="0" w:after="0"/>
        <w:ind w:hanging="0"/>
        <w:rPr/>
      </w:pPr>
      <w:r>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TDGE</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DGE</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(65)</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r>
                <w:rPr>
                  <w:rFonts w:ascii="Cambria Math" w:hAnsi="Cambria Math"/>
                </w:rPr>
                <m:t xml:space="preserve">T</m:t>
              </m:r>
              <m:sSub>
                <m:e>
                  <m:r>
                    <w:rPr>
                      <w:rFonts w:ascii="Cambria Math" w:hAnsi="Cambria Math"/>
                    </w:rPr>
                    <m:t xml:space="preserve">DGE</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IPCAIndex</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(66)</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gerais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TDGE</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gerais realizados de </w:t>
      </w:r>
      <w:r>
        <w:rPr>
          <w:i/>
          <w:sz w:val="20"/>
          <w:szCs w:val="20"/>
        </w:rPr>
        <w:t>1;..;n</w:t>
      </w:r>
      <w:r>
        <w:rPr>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TDGE</m:t>
        </m:r>
      </m:oMath>
      <w:r>
        <w:rPr>
          <w:rFonts w:cs="Times New Roman" w:ascii="Times New Roman" w:hAnsi="Times New Roman"/>
          <w:sz w:val="20"/>
          <w:szCs w:val="20"/>
        </w:rPr>
        <w:t>=Valor total das despesas e custos gerais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DGE</m:t>
            </m:r>
          </m:e>
          <m:sub>
            <m:r>
              <w:rPr>
                <w:rFonts w:ascii="Cambria Math" w:hAnsi="Cambria Math"/>
              </w:rPr>
              <m:t xml:space="preserve">i</m:t>
            </m:r>
          </m:sub>
        </m:sSub>
      </m:oMath>
      <w:r>
        <w:rPr>
          <w:rFonts w:cs="Times New Roman" w:ascii="Times New Roman" w:hAnsi="Times New Roman"/>
          <w:sz w:val="20"/>
          <w:szCs w:val="20"/>
        </w:rPr>
        <w:t xml:space="preserve">=Valor total das despesas e custos gerais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31" w:name="_Toc109911963"/>
      <w:bookmarkStart w:id="32" w:name="_Toc118711714"/>
      <w:r>
        <w:rPr/>
        <w:t>3.1.6 Despesas com tributos (impostos, taxas e contribuições)</w:t>
      </w:r>
      <w:bookmarkEnd w:id="31"/>
      <w:bookmarkEnd w:id="32"/>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Basicamente, este componente tarifário representa os valores referentes às despesas de natureza tributária: impostos, taxas e contribuições, incidentes nas atividades desenvolvidas pela concessionária prestadora dos serviços, podendo ser: a) Proporcionais ao faturamento e arrecadação: Programa de Integração Social e de Formação do Patrimônio do Servidor Público (PIS/PASEP) e Contribuição para Financiamento da Seguridade Social (COFINS); Taxa de Regulação; b) Proporcionais ao lucro: Imposto de Renda Pessoa Jurídica (IRPJ) e Contribuição Social sobre o Lucro Líquido (CSLL); e c) Outros tributos: Decorrentes de outros fatos geradores tais como Imposto Predial e Territorial (IPTU) e Imposto sobre operações financeiras (IOF), Imposto sobre a propriedade de veículos automotores (IPVA), Taxa de lixo, Taxa por outorga de direito de uso de recursos hídricos e qualquer outro tributo decorrente de diversos fatos geradores.</w:t>
      </w:r>
    </w:p>
    <w:p>
      <w:pPr>
        <w:pStyle w:val="Normal"/>
        <w:spacing w:lineRule="auto" w:line="360" w:before="0" w:after="0"/>
        <w:ind w:firstLine="708"/>
        <w:jc w:val="both"/>
        <w:rPr/>
      </w:pPr>
      <w:r>
        <w:rPr>
          <w:rFonts w:cs="Times New Roman" w:ascii="Times New Roman" w:hAnsi="Times New Roman"/>
          <w:sz w:val="24"/>
          <w:szCs w:val="24"/>
        </w:rPr>
        <w:t>Os tributos proporcionais ao faturamento e arrecadação são sensíveis às alterações tarifárias e as movimentações dos consumos dos clientes na tabela tarifária, justificada pela estrutura de cobrança progressiva em duas partes (cota mínima + consumo).</w:t>
      </w:r>
    </w:p>
    <w:p>
      <w:pPr>
        <w:pStyle w:val="Normal"/>
        <w:spacing w:lineRule="auto" w:line="360" w:before="0" w:after="0"/>
        <w:ind w:firstLine="708"/>
        <w:jc w:val="both"/>
        <w:rPr/>
      </w:pPr>
      <w:r>
        <w:rPr>
          <w:rFonts w:cs="Times New Roman" w:ascii="Times New Roman" w:hAnsi="Times New Roman"/>
          <w:sz w:val="24"/>
          <w:szCs w:val="24"/>
        </w:rPr>
        <w:t xml:space="preserve">A Agência Reguladora de Serviços de Abastecimento de Água e de Esgotamento Sanitário do Estado de Minas Gerais – ARSAE/MG, que regula a </w:t>
      </w:r>
      <w:bookmarkStart w:id="33" w:name="__DdeLink__1976_4060259382"/>
      <w:r>
        <w:rPr>
          <w:rFonts w:cs="Times New Roman" w:ascii="Times New Roman" w:hAnsi="Times New Roman"/>
          <w:sz w:val="24"/>
          <w:szCs w:val="24"/>
        </w:rPr>
        <w:t>Companhia</w:t>
      </w:r>
      <w:bookmarkEnd w:id="33"/>
      <w:r>
        <w:rPr>
          <w:rFonts w:cs="Times New Roman" w:ascii="Times New Roman" w:hAnsi="Times New Roman"/>
          <w:sz w:val="24"/>
          <w:szCs w:val="24"/>
        </w:rPr>
        <w:t xml:space="preserve"> de Saneamento de Minas Gerais – COPASA e a COPANOR - COPASA Serviços de Saneamento Integrado do Norte e Nordeste de Minas Gerais, utiliza a indexação de tais tributos pelo Efeito Tarifário Médio – </w:t>
      </w:r>
      <w:r>
        <w:rPr>
          <w:rFonts w:cs="Times New Roman" w:ascii="Times New Roman" w:hAnsi="Times New Roman"/>
          <w:i/>
          <w:sz w:val="24"/>
          <w:szCs w:val="24"/>
        </w:rPr>
        <w:t>ETM</w:t>
      </w:r>
      <w:r>
        <w:rPr>
          <w:rFonts w:cs="Times New Roman" w:ascii="Times New Roman" w:hAnsi="Times New Roman"/>
          <w:sz w:val="24"/>
          <w:szCs w:val="24"/>
        </w:rPr>
        <w:t>. A metodologia apresentada segue nesta mesma direção, conforme notações matemáticas 67.</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W w:w="8820" w:type="dxa"/>
        <w:jc w:val="left"/>
        <w:tblInd w:w="-284" w:type="dxa"/>
        <w:tblCellMar>
          <w:top w:w="0" w:type="dxa"/>
          <w:left w:w="108" w:type="dxa"/>
          <w:bottom w:w="0" w:type="dxa"/>
          <w:right w:w="108" w:type="dxa"/>
        </w:tblCellMar>
        <w:tblLook w:firstRow="1" w:noVBand="1" w:lastRow="0" w:firstColumn="1" w:lastColumn="0" w:noHBand="0" w:val="04a0"/>
      </w:tblPr>
      <w:tblGrid>
        <w:gridCol w:w="7938"/>
        <w:gridCol w:w="881"/>
      </w:tblGrid>
      <w:tr>
        <w:trPr/>
        <w:tc>
          <w:tcPr>
            <w:tcW w:w="7938" w:type="dxa"/>
            <w:tcBorders/>
            <w:shd w:color="auto" w:fill="auto" w:val="clear"/>
          </w:tcPr>
          <w:p>
            <w:pPr>
              <w:pStyle w:val="Normal"/>
              <w:widowControl w:val="false"/>
              <w:spacing w:lineRule="auto" w:line="360" w:before="0" w:after="0"/>
              <w:ind w:hanging="108"/>
              <w:jc w:val="center"/>
              <w:rPr/>
            </w:pPr>
            <w:r>
              <w:rPr/>
            </w:r>
            <m:oMath xmlns:m="http://schemas.openxmlformats.org/officeDocument/2006/math">
              <m:r>
                <w:rPr>
                  <w:rFonts w:ascii="Cambria Math" w:hAnsi="Cambria Math"/>
                </w:rPr>
                <m:t xml:space="preserve">ETMIndex</m:t>
              </m:r>
              <m:r>
                <w:rPr>
                  <w:rFonts w:ascii="Cambria Math" w:hAnsi="Cambria Math"/>
                </w:rPr>
                <m:t xml:space="preserve">=</m:t>
              </m:r>
              <m:f>
                <m:num>
                  <m:d>
                    <m:dPr>
                      <m:begChr m:val="["/>
                      <m:endChr m:val="]"/>
                    </m:dPr>
                    <m:e>
                      <m:d>
                        <m:dPr>
                          <m:begChr m:val="("/>
                          <m:endChr m:val=")"/>
                        </m:dPr>
                        <m:e>
                          <m:f>
                            <m:num>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num>
                            <m:den>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1</m:t>
                                  </m:r>
                                </m:sub>
                              </m:sSub>
                            </m:den>
                          </m:f>
                        </m:e>
                      </m:d>
                      <m:r>
                        <w:rPr>
                          <w:rFonts w:ascii="Cambria Math" w:hAnsi="Cambria Math"/>
                        </w:rPr>
                        <m:t xml:space="preserve">+</m:t>
                      </m:r>
                      <m:d>
                        <m:dPr>
                          <m:begChr m:val="("/>
                          <m:endChr m:val=")"/>
                        </m:dPr>
                        <m:e>
                          <m:f>
                            <m:num>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3</m:t>
                                  </m:r>
                                </m:sub>
                              </m:sSub>
                            </m:num>
                            <m:den>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2</m:t>
                                  </m:r>
                                </m:sub>
                              </m:sSub>
                            </m:den>
                          </m:f>
                        </m:e>
                      </m:d>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f>
                            <m:num>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n</m:t>
                                  </m:r>
                                </m:sub>
                              </m:sSub>
                            </m:num>
                            <m:den>
                              <m:sSub>
                                <m:e>
                                  <m:r>
                                    <w:rPr>
                                      <w:rFonts w:ascii="Cambria Math" w:hAnsi="Cambria Math"/>
                                    </w:rPr>
                                    <m:t xml:space="preserve">RTOT</m:t>
                                  </m:r>
                                </m:e>
                                <m:sub>
                                  <m:r>
                                    <w:rPr>
                                      <w:rFonts w:ascii="Cambria Math" w:hAnsi="Cambria Math"/>
                                    </w:rPr>
                                    <m:t xml:space="preserve">i</m:t>
                                  </m:r>
                                  <m:r>
                                    <w:rPr>
                                      <w:rFonts w:ascii="Cambria Math" w:hAnsi="Cambria Math"/>
                                    </w:rPr>
                                    <m:t xml:space="preserve">=</m:t>
                                  </m:r>
                                  <m:r>
                                    <w:rPr>
                                      <w:rFonts w:ascii="Cambria Math" w:hAnsi="Cambria Math"/>
                                    </w:rPr>
                                    <m:t xml:space="preserve">n</m:t>
                                  </m:r>
                                  <m:r>
                                    <w:rPr>
                                      <w:rFonts w:ascii="Cambria Math" w:hAnsi="Cambria Math"/>
                                    </w:rPr>
                                    <m:t xml:space="preserve">−</m:t>
                                  </m:r>
                                  <m:r>
                                    <w:rPr>
                                      <w:rFonts w:ascii="Cambria Math" w:hAnsi="Cambria Math"/>
                                    </w:rPr>
                                    <m:t xml:space="preserve">1</m:t>
                                  </m:r>
                                </m:sub>
                              </m:sSub>
                            </m:den>
                          </m:f>
                        </m:e>
                      </m:d>
                    </m:e>
                  </m:d>
                </m:num>
                <m:den>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den>
              </m:f>
            </m:oMath>
          </w:p>
        </w:tc>
        <w:tc>
          <w:tcPr>
            <w:tcW w:w="881"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(67)</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ETMIndex</m:t>
        </m:r>
      </m:oMath>
      <w:r>
        <w:rPr>
          <w:rFonts w:cs="Times New Roman" w:ascii="Times New Roman" w:hAnsi="Times New Roman"/>
          <w:sz w:val="20"/>
          <w:szCs w:val="20"/>
        </w:rPr>
        <w:t>= Índice de reajuste das despesas indexadas pelo efeito médio tarifário;</w:t>
      </w:r>
    </w:p>
    <w:p>
      <w:pPr>
        <w:pStyle w:val="Normal"/>
        <w:spacing w:lineRule="auto" w:line="240" w:before="0" w:after="0"/>
        <w:jc w:val="both"/>
        <w:rPr/>
      </w:pPr>
      <w:r>
        <w:rPr/>
      </w:r>
      <m:oMath xmlns:m="http://schemas.openxmlformats.org/officeDocument/2006/math">
        <m:sSub>
          <m:e>
            <m:r>
              <w:rPr>
                <w:rFonts w:ascii="Cambria Math" w:hAnsi="Cambria Math"/>
              </w:rPr>
              <m:t xml:space="preserve">RTOT</m:t>
            </m:r>
          </m:e>
          <m:sub>
            <m:r>
              <w:rPr>
                <w:rFonts w:ascii="Cambria Math" w:hAnsi="Cambria Math"/>
              </w:rPr>
              <m:t xml:space="preserve">i</m:t>
            </m:r>
          </m:sub>
        </m:sSub>
      </m:oMath>
      <w:r>
        <w:rPr>
          <w:rFonts w:cs="Times New Roman" w:ascii="Times New Roman" w:hAnsi="Times New Roman"/>
          <w:sz w:val="20"/>
          <w:szCs w:val="20"/>
        </w:rPr>
        <w:t xml:space="preserve">=Valor total das receitas diretas e indiretas dos serviços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Para os tributos proporcionais ao lucro e outros tributos, decorrentes de diversos fatos geradores, foram identificadas sete agências reguladoras que incluem as despesas tributárias no composto de índices, sendo o IPCA utilizado (</w:t>
      </w:r>
      <w:r>
        <w:rPr/>
      </w:r>
      <m:oMath xmlns:m="http://schemas.openxmlformats.org/officeDocument/2006/math">
        <m:r>
          <w:rPr>
            <w:rFonts w:ascii="Cambria Math" w:hAnsi="Cambria Math"/>
          </w:rPr>
          <m:t xml:space="preserve">IPCAIndex</m:t>
        </m:r>
      </m:oMath>
      <w:r>
        <w:rPr>
          <w:rFonts w:cs="Times New Roman" w:ascii="Times New Roman" w:hAnsi="Times New Roman"/>
          <w:sz w:val="24"/>
          <w:szCs w:val="24"/>
        </w:rPr>
        <w:t>) como indexador para tais tributos em seis delas, estabelecendo forte tendência regulatória para a escolha do referido índice, que também foi incorporada a esta metodologia.</w:t>
      </w:r>
    </w:p>
    <w:p>
      <w:pPr>
        <w:pStyle w:val="Normal"/>
        <w:spacing w:lineRule="auto" w:line="360" w:before="0" w:after="0"/>
        <w:ind w:firstLine="708"/>
        <w:jc w:val="both"/>
        <w:rPr/>
      </w:pPr>
      <w:r>
        <w:rPr>
          <w:rFonts w:cs="Times New Roman" w:ascii="Times New Roman" w:hAnsi="Times New Roman"/>
          <w:sz w:val="24"/>
          <w:szCs w:val="24"/>
        </w:rPr>
        <w:t>No cálculo da representatividade das despesas com tributos serão computados os valores, efetivamente realizados no intervalo em análise, considerando as alíquotas integrais do PIS e COFINS, justificado pelo fato dos créditos tributários serem abatidos dos custos dos insumos na revisão tarifária. As equações 68 a 72 representam os cálculos dos tributos.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TPIS</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PIS</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(68)</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TCOFINS</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COFINS</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(69)</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TREG</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REG</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(70)</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TIRCSL</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IRCSL</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(71)</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TOUTt</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OUTt</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(72)</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Normal"/>
        <w:spacing w:lineRule="auto" w:line="240" w:before="0" w:after="0"/>
        <w:jc w:val="both"/>
        <w:rPr/>
      </w:pPr>
      <w:r>
        <w:rPr/>
      </w:r>
      <m:oMath xmlns:m="http://schemas.openxmlformats.org/officeDocument/2006/math">
        <m:r>
          <w:rPr>
            <w:rFonts w:ascii="Cambria Math" w:hAnsi="Cambria Math"/>
          </w:rPr>
          <m:t xml:space="preserve">TPIS</m:t>
        </m:r>
      </m:oMath>
      <w:r>
        <w:rPr>
          <w:rFonts w:cs="Times New Roman" w:ascii="Times New Roman" w:hAnsi="Times New Roman"/>
          <w:sz w:val="20"/>
          <w:szCs w:val="20"/>
        </w:rPr>
        <w:t>=Valor total das despesas com PIS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PIS</m:t>
            </m:r>
          </m:e>
          <m:sub>
            <m:r>
              <w:rPr>
                <w:rFonts w:ascii="Cambria Math" w:hAnsi="Cambria Math"/>
              </w:rPr>
              <m:t xml:space="preserve">i</m:t>
            </m:r>
          </m:sub>
        </m:sSub>
      </m:oMath>
      <w:r>
        <w:rPr>
          <w:rFonts w:cs="Times New Roman" w:ascii="Times New Roman" w:hAnsi="Times New Roman"/>
          <w:sz w:val="20"/>
          <w:szCs w:val="20"/>
        </w:rPr>
        <w:t xml:space="preserve">=Valor total das despesas com PIS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TCOFINS</m:t>
        </m:r>
      </m:oMath>
      <w:r>
        <w:rPr>
          <w:rFonts w:cs="Times New Roman" w:ascii="Times New Roman" w:hAnsi="Times New Roman"/>
          <w:sz w:val="20"/>
          <w:szCs w:val="20"/>
        </w:rPr>
        <w:t>=Valor total das despesas com COFINS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COF</m:t>
            </m:r>
            <m:r>
              <w:rPr>
                <w:rFonts w:ascii="Cambria Math" w:hAnsi="Cambria Math"/>
              </w:rPr>
              <m:t xml:space="preserve">INS</m:t>
            </m:r>
          </m:e>
          <m:sub>
            <m:r>
              <w:rPr>
                <w:rFonts w:ascii="Cambria Math" w:hAnsi="Cambria Math"/>
              </w:rPr>
              <m:t xml:space="preserve">i</m:t>
            </m:r>
          </m:sub>
        </m:sSub>
      </m:oMath>
      <w:r>
        <w:rPr>
          <w:rFonts w:cs="Times New Roman" w:ascii="Times New Roman" w:hAnsi="Times New Roman"/>
          <w:sz w:val="20"/>
          <w:szCs w:val="20"/>
        </w:rPr>
        <w:t xml:space="preserve">=Valor total das despesas com COFINS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TREG</m:t>
        </m:r>
      </m:oMath>
      <w:r>
        <w:rPr>
          <w:rFonts w:cs="Times New Roman" w:ascii="Times New Roman" w:hAnsi="Times New Roman"/>
          <w:sz w:val="20"/>
          <w:szCs w:val="20"/>
        </w:rPr>
        <w:t>=Valor total das despesas com taxa de regulação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REG</m:t>
            </m:r>
          </m:e>
          <m:sub>
            <m:r>
              <w:rPr>
                <w:rFonts w:ascii="Cambria Math" w:hAnsi="Cambria Math"/>
              </w:rPr>
              <m:t xml:space="preserve">i</m:t>
            </m:r>
          </m:sub>
        </m:sSub>
      </m:oMath>
      <w:r>
        <w:rPr>
          <w:rFonts w:cs="Times New Roman" w:ascii="Times New Roman" w:hAnsi="Times New Roman"/>
          <w:sz w:val="20"/>
          <w:szCs w:val="20"/>
        </w:rPr>
        <w:t xml:space="preserve">=Valor total das despesas com taxa de regulação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TIRCSL</m:t>
        </m:r>
      </m:oMath>
      <w:r>
        <w:rPr>
          <w:rFonts w:cs="Times New Roman" w:ascii="Times New Roman" w:hAnsi="Times New Roman"/>
          <w:sz w:val="20"/>
          <w:szCs w:val="20"/>
        </w:rPr>
        <w:t>=Valor total das despesas com IRPJ e CSLL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IRCSL</m:t>
            </m:r>
          </m:e>
          <m:sub>
            <m:r>
              <w:rPr>
                <w:rFonts w:ascii="Cambria Math" w:hAnsi="Cambria Math"/>
              </w:rPr>
              <m:t xml:space="preserve">i</m:t>
            </m:r>
          </m:sub>
        </m:sSub>
      </m:oMath>
      <w:r>
        <w:rPr>
          <w:rFonts w:cs="Times New Roman" w:ascii="Times New Roman" w:hAnsi="Times New Roman"/>
          <w:sz w:val="20"/>
          <w:szCs w:val="20"/>
        </w:rPr>
        <w:t xml:space="preserve">=Valor total das despesas com IRPJ e CSLL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TOUT</m:t>
        </m:r>
      </m:oMath>
      <w:r>
        <w:rPr>
          <w:rFonts w:cs="Times New Roman" w:ascii="Times New Roman" w:hAnsi="Times New Roman"/>
          <w:sz w:val="20"/>
          <w:szCs w:val="20"/>
        </w:rPr>
        <w:t>=Valor total das despesas com outros tributos no intervalo de tempo em análise;</w:t>
      </w:r>
    </w:p>
    <w:p>
      <w:pPr>
        <w:pStyle w:val="Normal"/>
        <w:spacing w:lineRule="auto" w:line="240" w:before="0" w:after="0"/>
        <w:jc w:val="both"/>
        <w:rPr/>
      </w:pPr>
      <w:r>
        <w:rPr/>
      </w:r>
      <m:oMath xmlns:m="http://schemas.openxmlformats.org/officeDocument/2006/math">
        <m:sSub>
          <m:e>
            <m:r>
              <w:rPr>
                <w:rFonts w:ascii="Cambria Math" w:hAnsi="Cambria Math"/>
              </w:rPr>
              <m:t xml:space="preserve">TOUT</m:t>
            </m:r>
          </m:e>
          <m:sub>
            <m:r>
              <w:rPr>
                <w:rFonts w:ascii="Cambria Math" w:hAnsi="Cambria Math"/>
              </w:rPr>
              <m:t xml:space="preserve">i</m:t>
            </m:r>
          </m:sub>
        </m:sSub>
      </m:oMath>
      <w:r>
        <w:rPr>
          <w:rFonts w:cs="Times New Roman" w:ascii="Times New Roman" w:hAnsi="Times New Roman"/>
          <w:sz w:val="20"/>
          <w:szCs w:val="20"/>
        </w:rPr>
        <w:t xml:space="preserve">=Valor total das despesas com outros tributos no período </w:t>
      </w:r>
      <w:r>
        <w:rPr>
          <w:rFonts w:cs="Times New Roman" w:ascii="Times New Roman" w:hAnsi="Times New Roman"/>
          <w:i/>
          <w:sz w:val="20"/>
          <w:szCs w:val="20"/>
        </w:rPr>
        <w:t>i</w:t>
      </w:r>
      <w:r>
        <w:rPr>
          <w:rFonts w:cs="Times New Roman" w:ascii="Times New Roman" w:hAnsi="Times New Roman"/>
          <w:sz w:val="20"/>
          <w:szCs w:val="20"/>
        </w:rPr>
        <w:t>;</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AaaaaaaRapido"/>
        <w:rPr/>
      </w:pPr>
      <w:r>
        <w:rPr/>
        <w:t xml:space="preserve">Para os valores de referência </w:t>
      </w:r>
      <w:r>
        <w:rPr>
          <w:i/>
        </w:rPr>
        <w:t>P</w:t>
      </w:r>
      <w:r>
        <w:rPr>
          <w:i/>
          <w:vertAlign w:val="subscript"/>
        </w:rPr>
        <w:t>0</w:t>
      </w:r>
      <w:r>
        <w:rPr/>
        <w:t xml:space="preserve"> e </w:t>
      </w:r>
      <w:r>
        <w:rPr>
          <w:i/>
        </w:rPr>
        <w:t>P</w:t>
      </w:r>
      <w:r>
        <w:rPr>
          <w:i/>
          <w:vertAlign w:val="subscript"/>
        </w:rPr>
        <w:t>1</w:t>
      </w:r>
      <w:r>
        <w:rPr/>
        <w:t xml:space="preserve"> da parcela das despesas tributárias, as notações matemáticas 73 e 74 apresentam os valores totais consolidados.</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TPIS</m:t>
              </m:r>
              <m:r>
                <w:rPr>
                  <w:rFonts w:ascii="Cambria Math" w:hAnsi="Cambria Math"/>
                </w:rPr>
                <m:t xml:space="preserve">+</m:t>
              </m:r>
              <m:r>
                <w:rPr>
                  <w:rFonts w:ascii="Cambria Math" w:hAnsi="Cambria Math"/>
                </w:rPr>
                <m:t xml:space="preserve">TCOFINS</m:t>
              </m:r>
              <m:r>
                <w:rPr>
                  <w:rFonts w:ascii="Cambria Math" w:hAnsi="Cambria Math"/>
                </w:rPr>
                <m:t xml:space="preserve">+</m:t>
              </m:r>
              <m:r>
                <w:rPr>
                  <w:rFonts w:ascii="Cambria Math" w:hAnsi="Cambria Math"/>
                </w:rPr>
                <m:t xml:space="preserve">TREG</m:t>
              </m:r>
              <m:r>
                <w:rPr>
                  <w:rFonts w:ascii="Cambria Math" w:hAnsi="Cambria Math"/>
                </w:rPr>
                <m:t xml:space="preserve">+</m:t>
              </m:r>
              <m:r>
                <w:rPr>
                  <w:rFonts w:ascii="Cambria Math" w:hAnsi="Cambria Math"/>
                </w:rPr>
                <m:t xml:space="preserve">TIRCSL</m:t>
              </m:r>
              <m:r>
                <w:rPr>
                  <w:rFonts w:ascii="Cambria Math" w:hAnsi="Cambria Math"/>
                </w:rPr>
                <m:t xml:space="preserve">+</m:t>
              </m:r>
              <m:r>
                <w:rPr>
                  <w:rFonts w:ascii="Cambria Math" w:hAnsi="Cambria Math"/>
                </w:rPr>
                <m:t xml:space="preserve">TOUTt</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(73)</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TPIS</m:t>
                  </m:r>
                  <m:r>
                    <w:rPr>
                      <w:rFonts w:ascii="Cambria Math" w:hAnsi="Cambria Math"/>
                    </w:rPr>
                    <m:t xml:space="preserve">×</m:t>
                  </m:r>
                  <m:r>
                    <w:rPr>
                      <w:rFonts w:ascii="Cambria Math" w:hAnsi="Cambria Math"/>
                    </w:rPr>
                    <m:t xml:space="preserve">ETMIndex</m:t>
                  </m:r>
                </m:e>
              </m:d>
              <m:r>
                <w:rPr>
                  <w:rFonts w:ascii="Cambria Math" w:hAnsi="Cambria Math"/>
                </w:rPr>
                <m:t xml:space="preserve">+</m:t>
              </m:r>
              <m:d>
                <m:dPr>
                  <m:begChr m:val="("/>
                  <m:endChr m:val=")"/>
                </m:dPr>
                <m:e>
                  <m:r>
                    <w:rPr>
                      <w:rFonts w:ascii="Cambria Math" w:hAnsi="Cambria Math"/>
                    </w:rPr>
                    <m:t xml:space="preserve">TCOFINS</m:t>
                  </m:r>
                  <m:r>
                    <w:rPr>
                      <w:rFonts w:ascii="Cambria Math" w:hAnsi="Cambria Math"/>
                    </w:rPr>
                    <m:t xml:space="preserve">×</m:t>
                  </m:r>
                  <m:r>
                    <w:rPr>
                      <w:rFonts w:ascii="Cambria Math" w:hAnsi="Cambria Math"/>
                    </w:rPr>
                    <m:t xml:space="preserve">ETMIndex</m:t>
                  </m:r>
                </m:e>
              </m:d>
              <m:r>
                <w:rPr>
                  <w:rFonts w:ascii="Cambria Math" w:hAnsi="Cambria Math"/>
                </w:rPr>
                <m:t xml:space="preserve">+</m:t>
              </m:r>
              <m:d>
                <m:dPr>
                  <m:begChr m:val="("/>
                  <m:endChr m:val=")"/>
                </m:dPr>
                <m:e>
                  <m:r>
                    <w:rPr>
                      <w:rFonts w:ascii="Cambria Math" w:hAnsi="Cambria Math"/>
                    </w:rPr>
                    <m:t xml:space="preserve">TREG</m:t>
                  </m:r>
                  <m:r>
                    <w:rPr>
                      <w:rFonts w:ascii="Cambria Math" w:hAnsi="Cambria Math"/>
                    </w:rPr>
                    <m:t xml:space="preserve">×</m:t>
                  </m:r>
                  <m:r>
                    <w:rPr>
                      <w:rFonts w:ascii="Cambria Math" w:hAnsi="Cambria Math"/>
                    </w:rPr>
                    <m:t xml:space="preserve">ETMIndex</m:t>
                  </m:r>
                </m:e>
              </m:d>
              <m:r>
                <w:rPr>
                  <w:rFonts w:ascii="Cambria Math" w:hAnsi="Cambria Math"/>
                </w:rPr>
                <m:t xml:space="preserve">+</m:t>
              </m:r>
              <m:d>
                <m:dPr>
                  <m:begChr m:val="("/>
                  <m:endChr m:val=")"/>
                </m:dPr>
                <m:e>
                  <m:r>
                    <w:rPr>
                      <w:rFonts w:ascii="Cambria Math" w:hAnsi="Cambria Math"/>
                    </w:rPr>
                    <m:t xml:space="preserve">TIRCSL</m:t>
                  </m:r>
                  <m:r>
                    <w:rPr>
                      <w:rFonts w:ascii="Cambria Math" w:hAnsi="Cambria Math"/>
                    </w:rPr>
                    <m:t xml:space="preserve">×</m:t>
                  </m:r>
                  <m:r>
                    <w:rPr>
                      <w:rFonts w:ascii="Cambria Math" w:hAnsi="Cambria Math"/>
                    </w:rPr>
                    <m:t xml:space="preserve">IPCAIndex</m:t>
                  </m:r>
                </m:e>
              </m:d>
              <m:r>
                <w:rPr>
                  <w:rFonts w:ascii="Cambria Math" w:hAnsi="Cambria Math"/>
                </w:rPr>
                <m:t xml:space="preserve">+</m:t>
              </m:r>
              <m:d>
                <m:dPr>
                  <m:begChr m:val="("/>
                  <m:endChr m:val=")"/>
                </m:dPr>
                <m:e>
                  <m:r>
                    <w:rPr>
                      <w:rFonts w:ascii="Cambria Math" w:hAnsi="Cambria Math"/>
                    </w:rPr>
                    <m:t xml:space="preserve">TOUTt</m:t>
                  </m:r>
                  <m:r>
                    <w:rPr>
                      <w:rFonts w:ascii="Cambria Math" w:hAnsi="Cambria Math"/>
                    </w:rPr>
                    <m:t xml:space="preserve">×</m:t>
                  </m:r>
                  <m:r>
                    <w:rPr>
                      <w:rFonts w:ascii="Cambria Math" w:hAnsi="Cambria Math"/>
                    </w:rPr>
                    <m:t xml:space="preserve">IPCAIndex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(74)</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tributárias realizadas de </w:t>
      </w:r>
      <w:r>
        <w:rPr>
          <w:i/>
          <w:sz w:val="20"/>
          <w:szCs w:val="20"/>
        </w:rPr>
        <w:t>1;..;n</w:t>
      </w:r>
      <w:r>
        <w:rPr>
          <w:sz w:val="20"/>
          <w:szCs w:val="20"/>
        </w:rPr>
        <w:t xml:space="preserve"> a valores históricos;</w:t>
      </w:r>
    </w:p>
    <w:p>
      <w:pPr>
        <w:pStyle w:val="Normal"/>
        <w:spacing w:lineRule="auto" w:line="240" w:before="0" w:after="0"/>
        <w:jc w:val="both"/>
        <w:rPr/>
      </w:pPr>
      <w:r>
        <w:rPr/>
      </w:r>
      <m:oMath xmlns:m="http://schemas.openxmlformats.org/officeDocument/2006/math">
        <m:r>
          <w:rPr>
            <w:rFonts w:ascii="Cambria Math" w:hAnsi="Cambria Math"/>
          </w:rPr>
          <m:t xml:space="preserve">TPIS</m:t>
        </m:r>
      </m:oMath>
      <w:r>
        <w:rPr>
          <w:rFonts w:cs="Times New Roman" w:ascii="Times New Roman" w:hAnsi="Times New Roman"/>
          <w:sz w:val="20"/>
          <w:szCs w:val="20"/>
        </w:rPr>
        <w:t>=Valor total das despesas com PIS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TCOFINS</m:t>
        </m:r>
      </m:oMath>
      <w:r>
        <w:rPr>
          <w:rFonts w:cs="Times New Roman" w:ascii="Times New Roman" w:hAnsi="Times New Roman"/>
          <w:sz w:val="20"/>
          <w:szCs w:val="20"/>
        </w:rPr>
        <w:t>=Valor total das despesas com COFINS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TREG</m:t>
        </m:r>
      </m:oMath>
      <w:r>
        <w:rPr>
          <w:rFonts w:cs="Times New Roman" w:ascii="Times New Roman" w:hAnsi="Times New Roman"/>
          <w:sz w:val="20"/>
          <w:szCs w:val="20"/>
        </w:rPr>
        <w:t>=Valor total das despesas com taxa de regulação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TIRCSL</m:t>
        </m:r>
      </m:oMath>
      <w:r>
        <w:rPr>
          <w:rFonts w:cs="Times New Roman" w:ascii="Times New Roman" w:hAnsi="Times New Roman"/>
          <w:sz w:val="20"/>
          <w:szCs w:val="20"/>
        </w:rPr>
        <w:t>=Valor total das despesas com IRPJ e CSLL no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TOUT</m:t>
        </m:r>
      </m:oMath>
      <w:r>
        <w:rPr>
          <w:rFonts w:cs="Times New Roman" w:ascii="Times New Roman" w:hAnsi="Times New Roman"/>
          <w:sz w:val="20"/>
          <w:szCs w:val="20"/>
        </w:rPr>
        <w:t>=Valor total das despesas com outros tributos no intervalo de tempo em análise;</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TTRIB</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tributárias realizadas de </w:t>
      </w:r>
      <w:r>
        <w:rPr>
          <w:i/>
          <w:sz w:val="20"/>
          <w:szCs w:val="20"/>
        </w:rPr>
        <w:t>1;..;n</w:t>
      </w:r>
      <w:r>
        <w:rPr>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ETMIndex</m:t>
        </m:r>
      </m:oMath>
      <w:r>
        <w:rPr>
          <w:rFonts w:cs="Times New Roman" w:ascii="Times New Roman" w:hAnsi="Times New Roman"/>
          <w:sz w:val="20"/>
          <w:szCs w:val="20"/>
        </w:rPr>
        <w:t>= Índice de reajuste das despesas indexadas pelo efeito médio tarifário;</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34" w:name="_Toc109911964"/>
      <w:bookmarkStart w:id="35" w:name="_Toc118711715"/>
      <w:r>
        <w:rPr/>
        <w:t>3.2 Perdas com Receitas Irrecuperáveis</w:t>
      </w:r>
      <w:bookmarkEnd w:id="34"/>
      <w:bookmarkEnd w:id="35"/>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pPr>
      <w:r>
        <w:rPr>
          <w:rFonts w:cs="Times New Roman" w:ascii="Times New Roman" w:hAnsi="Times New Roman"/>
          <w:sz w:val="24"/>
          <w:szCs w:val="24"/>
        </w:rPr>
        <w:t>São as despesas causadas pela inadimplência dos maus pagadores, incluída na tarifa por meio de percentual de perdas sobre a receita necessária, reconhecida pela agência reguladora.</w:t>
      </w:r>
    </w:p>
    <w:p>
      <w:pPr>
        <w:pStyle w:val="Normal"/>
        <w:spacing w:lineRule="auto" w:line="360" w:before="0" w:after="0"/>
        <w:ind w:firstLine="709"/>
        <w:jc w:val="both"/>
        <w:rPr/>
      </w:pPr>
      <w:r>
        <w:rPr>
          <w:rFonts w:cs="Times New Roman" w:ascii="Times New Roman" w:hAnsi="Times New Roman"/>
          <w:sz w:val="24"/>
          <w:szCs w:val="24"/>
        </w:rPr>
        <w:t xml:space="preserve">As perdas com receitas irrecuperáveis, sob a ótica regulatória, não coincidem com os valores registrados e realizados reproduzidos pela contabilidade da concessionária, haja vista que tais perdas são calculadas pela aplicação do conceito </w:t>
      </w:r>
      <w:r>
        <w:rPr>
          <w:rFonts w:eastAsia="Times New Roman" w:cs="Times New Roman" w:ascii="Times New Roman" w:hAnsi="Times New Roman"/>
          <w:color w:val="000000"/>
          <w:sz w:val="24"/>
          <w:szCs w:val="24"/>
          <w:lang w:eastAsia="pt-BR"/>
        </w:rPr>
        <w:t>de Curva de Envelhecimento da Fatura (</w:t>
      </w:r>
      <w:r>
        <w:rPr>
          <w:rFonts w:eastAsia="Times New Roman" w:cs="Times New Roman" w:ascii="Times New Roman" w:hAnsi="Times New Roman"/>
          <w:i/>
          <w:color w:val="000000"/>
          <w:sz w:val="24"/>
          <w:szCs w:val="24"/>
          <w:lang w:eastAsia="pt-BR"/>
        </w:rPr>
        <w:t>aging</w:t>
      </w:r>
      <w:r>
        <w:rPr>
          <w:rFonts w:eastAsia="Times New Roman" w:cs="Times New Roman" w:ascii="Times New Roman" w:hAnsi="Times New Roman"/>
          <w:color w:val="000000"/>
          <w:sz w:val="24"/>
          <w:szCs w:val="24"/>
          <w:lang w:eastAsia="pt-BR"/>
        </w:rPr>
        <w:t>) na metodologia de revisão tarifária descrita na Nota Técnica 001/2018 – ARSBAN.</w:t>
      </w:r>
    </w:p>
    <w:p>
      <w:pPr>
        <w:pStyle w:val="Normal"/>
        <w:spacing w:lineRule="auto" w:line="360" w:before="0" w:after="0"/>
        <w:ind w:firstLine="709"/>
        <w:jc w:val="both"/>
        <w:rPr/>
      </w:pPr>
      <w:r>
        <w:rPr>
          <w:rFonts w:cs="Times New Roman" w:ascii="Times New Roman" w:hAnsi="Times New Roman"/>
          <w:sz w:val="24"/>
          <w:szCs w:val="24"/>
        </w:rPr>
        <w:t xml:space="preserve">Sendo assim, sob a ótica regulatória, a melhor aproximação para o valor total realizado, referente às perdas com receitas irrecuperáveis, seria a aplicação do percentual regulatório das referidas perdas sobre os valores totais realizados dos componentes das OPEX e CAPEX até a situação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w:t>
      </w:r>
    </w:p>
    <w:p>
      <w:pPr>
        <w:pStyle w:val="Normal"/>
        <w:spacing w:lineRule="auto" w:line="360" w:before="0" w:after="0"/>
        <w:ind w:firstLine="709"/>
        <w:jc w:val="both"/>
        <w:rPr/>
      </w:pPr>
      <w:r>
        <w:rPr>
          <w:rFonts w:cs="Times New Roman" w:ascii="Times New Roman" w:hAnsi="Times New Roman"/>
          <w:sz w:val="24"/>
          <w:szCs w:val="24"/>
        </w:rPr>
        <w:t xml:space="preserve">A base de cálculo para a aplicação do percentual de perdas com receitas irrecuperáveis é a receita necessária da equação de equilíbrio econômico-financeiro, ou seja, a receita obtida após a aplicação do índice de reposicionamento tarifário ou Índice de reajuste tarifário (conforme caso que originou a alteração tarifária: revisão ou reajuste), neste sentido, este gasto também varia com a receita, logo, também deverão ser indexadas pelo </w:t>
      </w:r>
      <w:r>
        <w:rPr/>
      </w:r>
      <m:oMath xmlns:m="http://schemas.openxmlformats.org/officeDocument/2006/math">
        <m:r>
          <w:rPr>
            <w:rFonts w:ascii="Cambria Math" w:hAnsi="Cambria Math"/>
          </w:rPr>
          <m:t xml:space="preserve">ETMIndex</m:t>
        </m:r>
      </m:oMath>
      <w:r>
        <w:rPr>
          <w:rFonts w:cs="Times New Roman" w:ascii="Times New Roman" w:hAnsi="Times New Roman"/>
          <w:sz w:val="20"/>
          <w:szCs w:val="20"/>
        </w:rPr>
        <w:t>.</w:t>
      </w:r>
    </w:p>
    <w:p>
      <w:pPr>
        <w:pStyle w:val="Normal"/>
        <w:spacing w:lineRule="auto" w:line="360" w:before="0" w:after="0"/>
        <w:ind w:firstLine="709"/>
        <w:jc w:val="both"/>
        <w:rPr/>
      </w:pPr>
      <w:r>
        <w:rPr>
          <w:rFonts w:cs="Times New Roman" w:ascii="Times New Roman" w:hAnsi="Times New Roman"/>
          <w:sz w:val="24"/>
          <w:szCs w:val="24"/>
        </w:rPr>
        <w:t xml:space="preserve">Para o cálculo dos valores das perdas, deverá ser utilizado o percentual de perdas extraído da </w:t>
      </w:r>
      <w:r>
        <w:rPr>
          <w:rFonts w:eastAsia="Times New Roman" w:cs="Times New Roman" w:ascii="Times New Roman" w:hAnsi="Times New Roman"/>
          <w:color w:val="000000"/>
          <w:sz w:val="24"/>
          <w:szCs w:val="24"/>
          <w:lang w:eastAsia="pt-BR"/>
        </w:rPr>
        <w:t>Curva de Envelhecimento da Fatura (</w:t>
      </w:r>
      <w:r>
        <w:rPr>
          <w:rFonts w:eastAsia="Times New Roman" w:cs="Times New Roman" w:ascii="Times New Roman" w:hAnsi="Times New Roman"/>
          <w:i/>
          <w:color w:val="000000"/>
          <w:sz w:val="24"/>
          <w:szCs w:val="24"/>
          <w:lang w:eastAsia="pt-BR"/>
        </w:rPr>
        <w:t>aging</w:t>
      </w:r>
      <w:r>
        <w:rPr>
          <w:rFonts w:eastAsia="Times New Roman" w:cs="Times New Roman" w:ascii="Times New Roman" w:hAnsi="Times New Roman"/>
          <w:color w:val="000000"/>
          <w:sz w:val="24"/>
          <w:szCs w:val="24"/>
          <w:lang w:eastAsia="pt-BR"/>
        </w:rPr>
        <w:t>) mais recente do período em análise, aplicando o reconhecimento regulatório de eficiência pactuado na revisão tarifária do ciclo tarifário em vigor. A</w:t>
      </w:r>
      <w:r>
        <w:rPr>
          <w:rFonts w:cs="Times New Roman" w:ascii="Times New Roman" w:hAnsi="Times New Roman"/>
          <w:sz w:val="24"/>
          <w:szCs w:val="24"/>
        </w:rPr>
        <w:t xml:space="preserve">s formulações matemáticas 75 e 76 definem o processo de cálculo dos valores das perdas com receitas irrecuperáveis com base nos valores realizados dos demais componentes tarifários nas situações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tcPr>
          <w:p>
            <w:pPr>
              <w:pStyle w:val="Normal"/>
              <w:spacing w:before="0" w:after="200"/>
              <w:ind w:firstLine="708"/>
              <w:jc w:val="center"/>
              <w:rPr>
                <w:rFonts w:ascii="Times New Roman" w:hAnsi="Times New Roman" w:cs="Times New Roman"/>
                <w:sz w:val="24"/>
                <w:szCs w:val="24"/>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TPRI</m:t>
              </m:r>
              <m:r>
                <w:rPr>
                  <w:rFonts w:ascii="Cambria Math" w:hAnsi="Cambria Math"/>
                </w:rPr>
                <m:t xml:space="preserve">=</m:t>
              </m:r>
              <m:f>
                <m:num>
                  <m:d>
                    <m:dPr>
                      <m:begChr m:val="("/>
                      <m:endChr m:val=")"/>
                    </m:dPr>
                    <m:e>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CAPEX</m:t>
                          </m:r>
                        </m:e>
                        <m:sub>
                          <m:r>
                            <w:rPr>
                              <w:rFonts w:ascii="Cambria Math" w:hAnsi="Cambria Math"/>
                            </w:rPr>
                            <m:t xml:space="preserve">P</m:t>
                          </m:r>
                          <m:r>
                            <w:rPr>
                              <w:rFonts w:ascii="Cambria Math" w:hAnsi="Cambria Math"/>
                            </w:rPr>
                            <m:t xml:space="preserve">0</m:t>
                          </m:r>
                        </m:sub>
                      </m:sSub>
                    </m:e>
                  </m:d>
                </m:num>
                <m:den>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%PERDAS</m:t>
                      </m:r>
                    </m:e>
                  </m:d>
                </m:den>
              </m:f>
              <m:r>
                <w:rPr>
                  <w:rFonts w:ascii="Cambria Math" w:hAnsi="Cambria Math"/>
                </w:rPr>
                <m:t xml:space="preserve">×</m:t>
              </m:r>
              <m:r>
                <w:rPr>
                  <w:rFonts w:ascii="Cambria Math" w:hAnsi="Cambria Math"/>
                </w:rPr>
                <m:t xml:space="preserve">%PERDAS</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(75)</w:t>
            </w:r>
          </w:p>
        </w:tc>
      </w:tr>
      <w:tr>
        <w:trPr/>
        <w:tc>
          <w:tcPr>
            <w:tcW w:w="7764" w:type="dxa"/>
            <w:tcBorders/>
          </w:tcPr>
          <w:p>
            <w:pPr>
              <w:pStyle w:val="Normal"/>
              <w:spacing w:lineRule="auto" w:line="360" w:before="0" w:after="200"/>
              <w:rPr>
                <w:rFonts w:ascii="Times New Roman" w:hAnsi="Times New Roman" w:cs="Times New Roman"/>
                <w:sz w:val="20"/>
                <w:szCs w:val="20"/>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r>
                <w:rPr>
                  <w:rFonts w:ascii="Cambria Math" w:hAnsi="Cambria Math"/>
                </w:rPr>
                <m:t xml:space="preserve">TPRI</m:t>
              </m:r>
              <m:r>
                <w:rPr>
                  <w:rFonts w:ascii="Cambria Math" w:hAnsi="Cambria Math"/>
                </w:rPr>
                <m:t xml:space="preserve">×</m:t>
              </m:r>
              <m:r>
                <w:rPr>
                  <w:rFonts w:ascii="Cambria Math" w:hAnsi="Cambria Math"/>
                </w:rPr>
                <m:t xml:space="preserve">ETM</m:t>
              </m:r>
              <m:r>
                <w:rPr>
                  <w:rFonts w:ascii="Cambria Math" w:hAnsi="Cambria Math"/>
                </w:rPr>
                <m:t xml:space="preserve">Index</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(76)</w:t>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oMath>
      <w:r>
        <w:rPr>
          <w:sz w:val="20"/>
          <w:szCs w:val="20"/>
        </w:rPr>
        <w:t xml:space="preserve">= Perdas com receitas irrecuperáveis calculadas de </w:t>
      </w:r>
      <w:r>
        <w:rPr>
          <w:i/>
          <w:sz w:val="20"/>
          <w:szCs w:val="20"/>
        </w:rPr>
        <w:t>1;..;n</w:t>
      </w:r>
      <w:r>
        <w:rPr>
          <w:sz w:val="20"/>
          <w:szCs w:val="20"/>
        </w:rPr>
        <w:t>, a partir dos valores históricos;</w:t>
      </w:r>
    </w:p>
    <w:p>
      <w:pPr>
        <w:pStyle w:val="Normal"/>
        <w:spacing w:lineRule="auto" w:line="240" w:before="0" w:after="0"/>
        <w:jc w:val="both"/>
        <w:rPr/>
      </w:pPr>
      <w:r>
        <w:rPr/>
      </w:r>
      <m:oMath xmlns:m="http://schemas.openxmlformats.org/officeDocument/2006/math">
        <m:r>
          <w:rPr>
            <w:rFonts w:ascii="Cambria Math" w:hAnsi="Cambria Math"/>
          </w:rPr>
          <m:t xml:space="preserve">TPRI</m:t>
        </m:r>
      </m:oMath>
      <w:r>
        <w:rPr>
          <w:rFonts w:cs="Times New Roman" w:ascii="Times New Roman" w:hAnsi="Times New Roman"/>
          <w:sz w:val="20"/>
          <w:szCs w:val="20"/>
        </w:rPr>
        <w:t>=Valor total das perdas com receitas irrecuperáveis no intervalo de tempo em análise;</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oMath>
      <w:r>
        <w:rPr>
          <w:sz w:val="20"/>
          <w:szCs w:val="20"/>
        </w:rPr>
        <w:t xml:space="preserve">= Despesas e custos operacionais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CAPEX</m:t>
            </m:r>
          </m:e>
          <m:sub>
            <m:r>
              <w:rPr>
                <w:rFonts w:ascii="Cambria Math" w:hAnsi="Cambria Math"/>
              </w:rPr>
              <m:t xml:space="preserve">Po</m:t>
            </m:r>
          </m:sub>
        </m:sSub>
      </m:oMath>
      <w:r>
        <w:rPr>
          <w:sz w:val="20"/>
          <w:szCs w:val="20"/>
        </w:rPr>
        <w:t xml:space="preserve">= Despesas e custos de capital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hanging="0"/>
        <w:rPr/>
      </w:pPr>
      <w:r>
        <w:rPr/>
      </w:r>
      <m:oMath xmlns:m="http://schemas.openxmlformats.org/officeDocument/2006/math">
        <m:r>
          <w:rPr>
            <w:rFonts w:ascii="Cambria Math" w:hAnsi="Cambria Math"/>
          </w:rPr>
          <m:t xml:space="preserve">%PERDAS</m:t>
        </m:r>
      </m:oMath>
      <w:r>
        <w:rPr>
          <w:sz w:val="20"/>
          <w:szCs w:val="20"/>
        </w:rPr>
        <w:t>= Percentual de perdas com receitas irrecuperáveis extraído da curva de envelhecimento da fatura (</w:t>
      </w:r>
      <w:r>
        <w:rPr>
          <w:i/>
          <w:sz w:val="20"/>
          <w:szCs w:val="20"/>
        </w:rPr>
        <w:t>aging</w:t>
      </w:r>
      <w:r>
        <w:rPr>
          <w:sz w:val="20"/>
          <w:szCs w:val="20"/>
        </w:rPr>
        <w:t>) mais recente;</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oMath>
      <w:r>
        <w:rPr>
          <w:sz w:val="20"/>
          <w:szCs w:val="20"/>
        </w:rPr>
        <w:t xml:space="preserve">= Perdas com receitas irrecuperáveis calculadas de </w:t>
      </w:r>
      <w:r>
        <w:rPr>
          <w:i/>
          <w:sz w:val="20"/>
          <w:szCs w:val="20"/>
        </w:rPr>
        <w:t>1;..;n</w:t>
      </w:r>
      <w:r>
        <w:rPr>
          <w:sz w:val="20"/>
          <w:szCs w:val="20"/>
        </w:rPr>
        <w:t>, provenientes dos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ETMIndex</m:t>
        </m:r>
      </m:oMath>
      <w:r>
        <w:rPr>
          <w:rFonts w:cs="Times New Roman" w:ascii="Times New Roman" w:hAnsi="Times New Roman"/>
          <w:sz w:val="20"/>
          <w:szCs w:val="20"/>
        </w:rPr>
        <w:t>= Índice de reajuste das despesas indexadas pelo efeito médio tarifário.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36" w:name="_Toc109911965"/>
      <w:bookmarkStart w:id="37" w:name="_Toc118711716"/>
      <w:r>
        <w:rPr/>
        <w:t>3.3 Despesas e custos de capital (CAPEX)</w:t>
      </w:r>
      <w:bookmarkEnd w:id="36"/>
      <w:bookmarkEnd w:id="37"/>
    </w:p>
    <w:p>
      <w:pPr>
        <w:pStyle w:val="Normal"/>
        <w:rPr>
          <w:rFonts w:ascii="Times New Roman" w:hAnsi="Times New Roman"/>
          <w:sz w:val="24"/>
          <w:szCs w:val="24"/>
          <w:lang w:eastAsia="pt-BR"/>
        </w:rPr>
      </w:pPr>
      <w:r>
        <w:rPr>
          <w:rFonts w:ascii="Times New Roman" w:hAnsi="Times New Roman"/>
          <w:sz w:val="24"/>
          <w:szCs w:val="24"/>
          <w:lang w:eastAsia="pt-BR"/>
        </w:rPr>
      </w:r>
    </w:p>
    <w:p>
      <w:pPr>
        <w:pStyle w:val="Normal"/>
        <w:spacing w:lineRule="auto" w:line="360" w:before="0" w:after="0"/>
        <w:ind w:firstLine="737"/>
        <w:jc w:val="both"/>
        <w:rPr/>
      </w:pPr>
      <w:r>
        <w:rPr>
          <w:rFonts w:cs="Times New Roman" w:ascii="Times New Roman" w:hAnsi="Times New Roman"/>
          <w:sz w:val="24"/>
          <w:szCs w:val="24"/>
          <w:lang w:eastAsia="pt-BR"/>
        </w:rPr>
        <w:t xml:space="preserve">As despesas custos de capital representam os reflexos dos investimentos na tarifa, sendo formado por dois componentes: 1º) Amortizações e depreciações: dinâmicas em relação à periodicidade mensal; e; 2º) Remuneração do investimento reconhecido: cíclicas em relação à periodicidade mensal, pois toma como referência o saldo acumulado no período </w:t>
      </w:r>
      <w:r>
        <w:rPr>
          <w:rFonts w:cs="Times New Roman" w:ascii="Times New Roman" w:hAnsi="Times New Roman"/>
          <w:i/>
          <w:sz w:val="24"/>
          <w:szCs w:val="24"/>
          <w:lang w:eastAsia="pt-BR"/>
        </w:rPr>
        <w:t>n-12</w:t>
      </w:r>
      <w:r>
        <w:rPr>
          <w:rFonts w:cs="Times New Roman" w:ascii="Times New Roman" w:hAnsi="Times New Roman"/>
          <w:sz w:val="24"/>
          <w:szCs w:val="24"/>
          <w:lang w:eastAsia="pt-BR"/>
        </w:rPr>
        <w:t xml:space="preserve"> para cálculo de remuneração correspondente a todo um ciclo tarifário. Os processos de cálculo das despesas e custos de capital nas situações </w:t>
      </w:r>
      <w:r>
        <w:rPr>
          <w:rFonts w:cs="Times New Roman" w:ascii="Times New Roman" w:hAnsi="Times New Roman"/>
          <w:i/>
          <w:sz w:val="24"/>
          <w:szCs w:val="24"/>
          <w:lang w:eastAsia="pt-BR"/>
        </w:rPr>
        <w:t>P</w:t>
      </w:r>
      <w:r>
        <w:rPr>
          <w:rFonts w:cs="Times New Roman" w:ascii="Times New Roman" w:hAnsi="Times New Roman"/>
          <w:i/>
          <w:sz w:val="24"/>
          <w:szCs w:val="24"/>
          <w:vertAlign w:val="subscript"/>
          <w:lang w:eastAsia="pt-BR"/>
        </w:rPr>
        <w:t>0</w:t>
      </w:r>
      <w:r>
        <w:rPr>
          <w:rFonts w:cs="Times New Roman" w:ascii="Times New Roman" w:hAnsi="Times New Roman"/>
          <w:sz w:val="24"/>
          <w:szCs w:val="24"/>
          <w:lang w:eastAsia="pt-BR"/>
        </w:rPr>
        <w:t xml:space="preserve"> e </w:t>
      </w:r>
      <w:r>
        <w:rPr>
          <w:rFonts w:cs="Times New Roman" w:ascii="Times New Roman" w:hAnsi="Times New Roman"/>
          <w:i/>
          <w:sz w:val="24"/>
          <w:szCs w:val="24"/>
          <w:lang w:eastAsia="pt-BR"/>
        </w:rPr>
        <w:t>P</w:t>
      </w:r>
      <w:r>
        <w:rPr>
          <w:rFonts w:cs="Times New Roman" w:ascii="Times New Roman" w:hAnsi="Times New Roman"/>
          <w:i/>
          <w:sz w:val="24"/>
          <w:szCs w:val="24"/>
          <w:vertAlign w:val="subscript"/>
          <w:lang w:eastAsia="pt-BR"/>
        </w:rPr>
        <w:t>1</w:t>
      </w:r>
      <w:r>
        <w:rPr>
          <w:rFonts w:cs="Times New Roman" w:ascii="Times New Roman" w:hAnsi="Times New Roman"/>
          <w:sz w:val="24"/>
          <w:szCs w:val="24"/>
          <w:lang w:eastAsia="pt-BR"/>
        </w:rPr>
        <w:t xml:space="preserve"> são apresentados nas formulações matemáticas 77 e 78.</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AaaaaaaRapido"/>
              <w:widowControl w:val="false"/>
              <w:spacing w:before="0" w:after="0"/>
              <w:jc w:val="center"/>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TAMD</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TR</m:t>
                  </m:r>
                  <m:r>
                    <w:rPr>
                      <w:rFonts w:ascii="Cambria Math" w:hAnsi="Cambria Math"/>
                    </w:rPr>
                    <m:t xml:space="preserve">IR</m:t>
                  </m:r>
                </m:e>
                <m:sub>
                  <m:r>
                    <w:rPr>
                      <w:rFonts w:ascii="Cambria Math" w:hAnsi="Cambria Math"/>
                    </w:rPr>
                    <m:t xml:space="preserve">P</m:t>
                  </m:r>
                  <m:r>
                    <w:rPr>
                      <w:rFonts w:ascii="Cambria Math" w:hAnsi="Cambria Math"/>
                    </w:rPr>
                    <m:t xml:space="preserve">0</m:t>
                  </m:r>
                </m:sub>
              </m:sSub>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(77)</w:t>
            </w:r>
          </w:p>
        </w:tc>
      </w:tr>
      <w:tr>
        <w:trPr/>
        <w:tc>
          <w:tcPr>
            <w:tcW w:w="7764" w:type="dxa"/>
            <w:tcBorders/>
            <w:shd w:color="auto" w:fill="auto" w:val="clear"/>
          </w:tcPr>
          <w:p>
            <w:pPr>
              <w:pStyle w:val="AaaaaaaRapido"/>
              <w:widowControl w:val="false"/>
              <w:spacing w:before="0" w:after="0"/>
              <w:jc w:val="center"/>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TAMD</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TRIR</m:t>
                  </m:r>
                </m:e>
                <m:sub>
                  <m:r>
                    <w:rPr>
                      <w:rFonts w:ascii="Cambria Math" w:hAnsi="Cambria Math"/>
                    </w:rPr>
                    <m:t xml:space="preserve">P</m:t>
                  </m:r>
                  <m:r>
                    <w:rPr>
                      <w:rFonts w:ascii="Cambria Math" w:hAnsi="Cambria Math"/>
                    </w:rPr>
                    <m:t xml:space="preserve">1</m:t>
                  </m:r>
                </m:sub>
              </m:sSub>
            </m:oMath>
          </w:p>
        </w:tc>
        <w:tc>
          <w:tcPr>
            <w:tcW w:w="880" w:type="dxa"/>
            <w:tcBorders/>
            <w:shd w:color="auto" w:fill="auto" w:val="clea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(78)</w:t>
            </w:r>
          </w:p>
        </w:tc>
      </w:tr>
    </w:tbl>
    <w:p>
      <w:pPr>
        <w:pStyle w:val="AaaaaaaRapido"/>
        <w:spacing w:lineRule="auto" w:line="240" w:before="0" w:after="0"/>
        <w:ind w:firstLine="142"/>
        <w:rPr/>
      </w:pPr>
      <w:r>
        <w:rPr>
          <w:lang w:eastAsia="pt-BR"/>
        </w:rPr>
        <w:tab/>
      </w:r>
      <w:r>
        <w:rPr/>
        <w:t>Sendo:</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operacionais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com pessoal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com materiais realizados de </w:t>
      </w:r>
      <w:r>
        <w:rPr>
          <w:i/>
          <w:sz w:val="20"/>
          <w:szCs w:val="20"/>
        </w:rPr>
        <w:t>1;..;n</w:t>
      </w:r>
      <w:r>
        <w:rPr>
          <w:sz w:val="20"/>
          <w:szCs w:val="20"/>
        </w:rPr>
        <w:t xml:space="preserve"> a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operacionais realizados de </w:t>
      </w:r>
      <w:r>
        <w:rPr>
          <w:i/>
          <w:sz w:val="20"/>
          <w:szCs w:val="20"/>
        </w:rPr>
        <w:t>1;..;n</w:t>
      </w:r>
      <w:r>
        <w:rPr>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com pessoal realizados de </w:t>
      </w:r>
      <w:r>
        <w:rPr>
          <w:i/>
          <w:sz w:val="20"/>
          <w:szCs w:val="20"/>
        </w:rPr>
        <w:t>1;..;n</w:t>
      </w:r>
      <w:r>
        <w:rPr>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com materiais realizados de </w:t>
      </w:r>
      <w:r>
        <w:rPr>
          <w:i/>
          <w:sz w:val="20"/>
          <w:szCs w:val="20"/>
        </w:rPr>
        <w:t>1;..;n</w:t>
      </w:r>
      <w:r>
        <w:rPr>
          <w:sz w:val="20"/>
          <w:szCs w:val="20"/>
        </w:rPr>
        <w:t xml:space="preserve"> a valores atualizados da data-base inicial até a data base-final.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38" w:name="_Toc118711717"/>
      <w:bookmarkStart w:id="39" w:name="_Toc109911966"/>
      <w:r>
        <w:rPr/>
        <w:t>3.3.1 Despesas e custos com depreciação e amortização</w:t>
      </w:r>
      <w:bookmarkEnd w:id="38"/>
      <w:bookmarkEnd w:id="39"/>
    </w:p>
    <w:p>
      <w:pPr>
        <w:pStyle w:val="Normal"/>
        <w:jc w:val="both"/>
        <w:rPr>
          <w:rFonts w:ascii="Times New Roman" w:hAnsi="Times New Roman" w:cs="Times New Roman"/>
          <w:sz w:val="24"/>
          <w:szCs w:val="24"/>
          <w:lang w:eastAsia="pt-BR"/>
        </w:rPr>
      </w:pPr>
      <w:r>
        <w:rPr>
          <w:rFonts w:cs="Times New Roman" w:ascii="Times New Roman" w:hAnsi="Times New Roman"/>
          <w:sz w:val="24"/>
          <w:szCs w:val="24"/>
          <w:lang w:eastAsia="pt-BR"/>
        </w:rPr>
      </w:r>
    </w:p>
    <w:p>
      <w:pPr>
        <w:pStyle w:val="Normal"/>
        <w:spacing w:lineRule="auto" w:line="360" w:before="0" w:after="0"/>
        <w:ind w:firstLine="709"/>
        <w:jc w:val="both"/>
        <w:rPr/>
      </w:pPr>
      <w:r>
        <w:rPr>
          <w:rFonts w:cs="Times New Roman" w:ascii="Times New Roman" w:hAnsi="Times New Roman"/>
          <w:sz w:val="24"/>
          <w:szCs w:val="24"/>
          <w:lang w:eastAsia="pt-BR"/>
        </w:rPr>
        <w:t>Segundo a Nota Técnica 001/2018 – ARSBAN, as despesas e custos com depreciação e amortização projetadas “</w:t>
      </w:r>
      <w:r>
        <w:rPr>
          <w:rFonts w:cs="Times New Roman" w:ascii="Times New Roman" w:hAnsi="Times New Roman"/>
          <w:i/>
          <w:sz w:val="24"/>
          <w:szCs w:val="24"/>
          <w:lang w:eastAsia="pt-BR"/>
        </w:rPr>
        <w:t>[...] são as despesas e custos associados ao uso ou consumo dos ativos imobilizados e intangíveis no desenvolvimento dos serviços prestados pela concessionária, inclusive no desenvolvimento das atividades comerciais e administrativas inerentes a qualquer monopólio natural</w:t>
      </w:r>
      <w:r>
        <w:rPr>
          <w:rFonts w:cs="Times New Roman" w:ascii="Times New Roman" w:hAnsi="Times New Roman"/>
          <w:sz w:val="24"/>
          <w:szCs w:val="24"/>
          <w:lang w:eastAsia="pt-BR"/>
        </w:rPr>
        <w:t>”.</w:t>
      </w:r>
    </w:p>
    <w:p>
      <w:pPr>
        <w:pStyle w:val="Normal"/>
        <w:spacing w:lineRule="auto" w:line="360" w:before="0" w:after="0"/>
        <w:ind w:firstLine="709"/>
        <w:jc w:val="both"/>
        <w:rPr>
          <w:rFonts w:ascii="Times New Roman" w:hAnsi="Times New Roman" w:cs="Times New Roman"/>
          <w:sz w:val="24"/>
          <w:szCs w:val="24"/>
          <w:lang w:eastAsia="pt-BR"/>
        </w:rPr>
      </w:pPr>
      <w:r>
        <w:rPr>
          <w:rFonts w:cs="Times New Roman" w:ascii="Times New Roman" w:hAnsi="Times New Roman"/>
          <w:sz w:val="24"/>
          <w:szCs w:val="24"/>
          <w:lang w:eastAsia="pt-BR"/>
        </w:rPr>
        <w:t>Os valores considerados para as ponderações das despesas com depreciação e amortização deverão seguir as mesmas trajetórias metodológicas constantes da metodologia de revisão tarifária e da metodologia de avaliação de base de ativos e seus respectivos valores reconhecidos sob a ótica regulatória e no seu momento mais recente ao pleito de reajuste tarifário.</w:t>
      </w:r>
    </w:p>
    <w:p>
      <w:pPr>
        <w:pStyle w:val="Normal"/>
        <w:spacing w:lineRule="auto" w:line="360" w:before="0" w:after="0"/>
        <w:ind w:firstLine="709"/>
        <w:jc w:val="both"/>
        <w:rPr/>
      </w:pPr>
      <w:r>
        <w:rPr>
          <w:rFonts w:cs="Times New Roman" w:ascii="Times New Roman" w:hAnsi="Times New Roman"/>
          <w:sz w:val="24"/>
          <w:szCs w:val="24"/>
          <w:lang w:eastAsia="pt-BR"/>
        </w:rPr>
        <w:t xml:space="preserve">Sendo assim, os valores de referência da situação </w:t>
      </w:r>
      <w:r>
        <w:rPr>
          <w:rFonts w:cs="Times New Roman" w:ascii="Times New Roman" w:hAnsi="Times New Roman"/>
          <w:i/>
          <w:sz w:val="24"/>
          <w:szCs w:val="24"/>
          <w:lang w:eastAsia="pt-BR"/>
        </w:rPr>
        <w:t>P</w:t>
      </w:r>
      <w:r>
        <w:rPr>
          <w:rFonts w:cs="Times New Roman" w:ascii="Times New Roman" w:hAnsi="Times New Roman"/>
          <w:i/>
          <w:sz w:val="24"/>
          <w:szCs w:val="24"/>
          <w:vertAlign w:val="subscript"/>
          <w:lang w:eastAsia="pt-BR"/>
        </w:rPr>
        <w:t>0</w:t>
      </w:r>
      <w:r>
        <w:rPr>
          <w:rFonts w:cs="Times New Roman" w:ascii="Times New Roman" w:hAnsi="Times New Roman"/>
          <w:sz w:val="24"/>
          <w:szCs w:val="24"/>
          <w:lang w:eastAsia="pt-BR"/>
        </w:rPr>
        <w:t xml:space="preserve"> para a amortização e depreciação serão: a) os valores novos de reposição sem os juros sobre obras em andamento – </w:t>
      </w:r>
      <w:r>
        <w:rPr>
          <w:rFonts w:cs="Times New Roman" w:ascii="Times New Roman" w:hAnsi="Times New Roman"/>
          <w:i/>
          <w:sz w:val="24"/>
          <w:szCs w:val="24"/>
          <w:lang w:eastAsia="pt-BR"/>
        </w:rPr>
        <w:t>JOA</w:t>
      </w:r>
      <w:r>
        <w:rPr>
          <w:rFonts w:cs="Times New Roman" w:ascii="Times New Roman" w:hAnsi="Times New Roman"/>
          <w:sz w:val="24"/>
          <w:szCs w:val="24"/>
          <w:lang w:eastAsia="pt-BR"/>
        </w:rPr>
        <w:t>, efetivamente realizados no decorrer do tempo da base histórica inventariada até 31/12/2018; e b) os valores históricos contábeis das depreciações e amortizações dos investimentos realizados após a referida data. Neste caso, também deverão ser aplicadas as regras de elegibilidade e fator de aproveitamento que disciplinaram a revisão tarifária e que disciplinam os critérios para atualização da Base de Ativos Regulatória – BAR nos Processos de Revisão Tarifária em vigor, bem como os valores reconhecidos na Nota Técnica – 001/2022 ARSBAN, em atendimento à Resolução 001/2021 – ARSBAN.</w:t>
      </w:r>
    </w:p>
    <w:p>
      <w:pPr>
        <w:pStyle w:val="Normal"/>
        <w:spacing w:lineRule="auto" w:line="360" w:before="0" w:after="0"/>
        <w:ind w:firstLine="709"/>
        <w:jc w:val="both"/>
        <w:rPr/>
      </w:pPr>
      <w:r>
        <w:rPr>
          <w:rFonts w:cs="Times New Roman" w:ascii="Times New Roman" w:hAnsi="Times New Roman"/>
          <w:sz w:val="24"/>
          <w:szCs w:val="24"/>
          <w:lang w:eastAsia="pt-BR"/>
        </w:rPr>
        <w:t xml:space="preserve">Como fator de indexação das despesas e custos com amortização e depreciação, o IPCA é quem assume maior convergência regulatória, com aplicações em, ao menos, 12 decisões regulatórias, em 21 agências reguladoras do setor, também servindo de referência para atualização na situação </w:t>
      </w:r>
      <w:r>
        <w:rPr>
          <w:rFonts w:cs="Times New Roman" w:ascii="Times New Roman" w:hAnsi="Times New Roman"/>
          <w:i/>
          <w:sz w:val="24"/>
          <w:szCs w:val="24"/>
          <w:lang w:eastAsia="pt-BR"/>
        </w:rPr>
        <w:t>P</w:t>
      </w:r>
      <w:r>
        <w:rPr>
          <w:rFonts w:cs="Times New Roman" w:ascii="Times New Roman" w:hAnsi="Times New Roman"/>
          <w:i/>
          <w:sz w:val="24"/>
          <w:szCs w:val="24"/>
          <w:vertAlign w:val="subscript"/>
          <w:lang w:eastAsia="pt-BR"/>
        </w:rPr>
        <w:t>1</w:t>
      </w:r>
      <w:r>
        <w:rPr>
          <w:rFonts w:cs="Times New Roman" w:ascii="Times New Roman" w:hAnsi="Times New Roman"/>
          <w:sz w:val="24"/>
          <w:szCs w:val="24"/>
          <w:lang w:eastAsia="pt-BR"/>
        </w:rPr>
        <w:t xml:space="preserve"> do referido gasto nesta metodologia. As formulações matemáticas 79 e 80 apresentam os mecanismos de cálculos das parcelas referentes às despesas e custos com depreciações e amortizações </w:t>
      </w:r>
      <w:r>
        <w:rPr>
          <w:rFonts w:cs="Times New Roman" w:ascii="Times New Roman" w:hAnsi="Times New Roman"/>
          <w:sz w:val="24"/>
          <w:szCs w:val="24"/>
        </w:rPr>
        <w:t xml:space="preserve">nas situações </w:t>
      </w:r>
      <w:r>
        <w:rPr>
          <w:rFonts w:cs="Times New Roman" w:ascii="Times New Roman" w:hAnsi="Times New Roman"/>
          <w:i/>
          <w:sz w:val="24"/>
          <w:szCs w:val="24"/>
        </w:rPr>
        <w:t>P</w:t>
      </w:r>
      <w:r>
        <w:rPr>
          <w:rFonts w:cs="Times New Roman" w:ascii="Times New Roman" w:hAnsi="Times New Roman"/>
          <w:i/>
          <w:sz w:val="24"/>
          <w:szCs w:val="24"/>
          <w:vertAlign w:val="subscript"/>
        </w:rPr>
        <w:t>0</w:t>
      </w:r>
      <w:r>
        <w:rPr>
          <w:rFonts w:cs="Times New Roman" w:ascii="Times New Roman" w:hAnsi="Times New Roman"/>
          <w:sz w:val="24"/>
          <w:szCs w:val="24"/>
        </w:rPr>
        <w:t xml:space="preserve"> e </w:t>
      </w:r>
      <w:r>
        <w:rPr>
          <w:rFonts w:cs="Times New Roman" w:ascii="Times New Roman" w:hAnsi="Times New Roman"/>
          <w:i/>
          <w:sz w:val="24"/>
          <w:szCs w:val="24"/>
        </w:rPr>
        <w:t>P</w:t>
      </w:r>
      <w:r>
        <w:rPr>
          <w:rFonts w:cs="Times New Roman" w:ascii="Times New Roman" w:hAnsi="Times New Roman"/>
          <w:i/>
          <w:sz w:val="24"/>
          <w:szCs w:val="24"/>
          <w:vertAlign w:val="subscript"/>
        </w:rPr>
        <w:t>1</w:t>
      </w:r>
      <w:r>
        <w:rPr>
          <w:rFonts w:cs="Times New Roman" w:ascii="Times New Roman" w:hAnsi="Times New Roman"/>
          <w:sz w:val="24"/>
          <w:szCs w:val="24"/>
        </w:rPr>
        <w:t>.</w:t>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TAMD</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i</m:t>
                  </m:r>
                  <m:r>
                    <w:rPr>
                      <w:rFonts w:ascii="Cambria Math" w:hAnsi="Cambria Math"/>
                    </w:rPr>
                    <m:t xml:space="preserve">=</m:t>
                  </m:r>
                  <m:r>
                    <w:rPr>
                      <w:rFonts w:ascii="Cambria Math" w:hAnsi="Cambria Math"/>
                    </w:rPr>
                    <m:t xml:space="preserve">n</m:t>
                  </m:r>
                </m:sup>
                <m:e>
                  <m:sSub>
                    <m:e>
                      <m:r>
                        <w:rPr>
                          <w:rFonts w:ascii="Cambria Math" w:hAnsi="Cambria Math"/>
                        </w:rPr>
                        <m:t xml:space="preserve">AMD</m:t>
                      </m:r>
                    </m:e>
                    <m:sub>
                      <m:r>
                        <w:rPr>
                          <w:rFonts w:ascii="Cambria Math" w:hAnsi="Cambria Math"/>
                        </w:rPr>
                        <m:t xml:space="preserve">i</m:t>
                      </m:r>
                    </m:sub>
                  </m:sSub>
                </m:e>
              </m:nary>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(79)</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r>
                <w:rPr>
                  <w:rFonts w:ascii="Cambria Math" w:hAnsi="Cambria Math"/>
                </w:rPr>
                <m:t xml:space="preserve">TAMD</m:t>
              </m:r>
              <m:r>
                <w:rPr>
                  <w:rFonts w:ascii="Cambria Math" w:hAnsi="Cambria Math"/>
                </w:rPr>
                <m:t xml:space="preserve">×</m:t>
              </m:r>
              <m:r>
                <w:rPr>
                  <w:rFonts w:ascii="Cambria Math" w:hAnsi="Cambria Math"/>
                </w:rPr>
                <m:t xml:space="preserve">IPCAIndex</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(80)</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0</m:t>
            </m:r>
          </m:sub>
        </m:sSub>
      </m:oMath>
      <w:r>
        <w:rPr>
          <w:sz w:val="20"/>
          <w:szCs w:val="20"/>
        </w:rPr>
        <w:t xml:space="preserve">= Valor total das despesas e custos com depreciação e amortização realizados de </w:t>
      </w:r>
      <w:r>
        <w:rPr>
          <w:i/>
          <w:sz w:val="20"/>
          <w:szCs w:val="20"/>
        </w:rPr>
        <w:t>1;..;n</w:t>
      </w:r>
      <w:r>
        <w:rPr>
          <w:sz w:val="20"/>
          <w:szCs w:val="20"/>
        </w:rPr>
        <w:t xml:space="preserve"> a valores históricos (a valor novo de reposição para os bens adquiridos/construídos  até 31/12/2018 e (deduzidos os créditos tributários, se houver);</w:t>
      </w:r>
    </w:p>
    <w:p>
      <w:pPr>
        <w:pStyle w:val="Normal"/>
        <w:spacing w:lineRule="auto" w:line="240" w:before="0" w:after="0"/>
        <w:jc w:val="both"/>
        <w:rPr>
          <w:rFonts w:ascii="Times New Roman" w:hAnsi="Times New Roman" w:cs="Times New Roman"/>
          <w:sz w:val="20"/>
          <w:szCs w:val="20"/>
        </w:rPr>
      </w:pPr>
      <w:r>
        <w:rPr/>
      </w:r>
      <m:oMath xmlns:m="http://schemas.openxmlformats.org/officeDocument/2006/math">
        <m:r>
          <w:rPr>
            <w:rFonts w:ascii="Cambria Math" w:hAnsi="Cambria Math"/>
          </w:rPr>
          <m:t xml:space="preserve">TAMD</m:t>
        </m:r>
      </m:oMath>
      <w:r>
        <w:rPr>
          <w:rFonts w:cs="Times New Roman" w:ascii="Times New Roman" w:hAnsi="Times New Roman"/>
          <w:sz w:val="20"/>
          <w:szCs w:val="20"/>
        </w:rPr>
        <w:t>=Valor total das despesas e custos com depreciação e amortização no intervalo de tempo em análise (deduzidos os créditos tributários, se houver);</w:t>
      </w:r>
    </w:p>
    <w:p>
      <w:pPr>
        <w:pStyle w:val="Normal"/>
        <w:spacing w:lineRule="auto" w:line="240" w:before="0" w:after="0"/>
        <w:jc w:val="both"/>
        <w:rPr/>
      </w:pPr>
      <w:r>
        <w:rPr/>
      </w:r>
      <m:oMath xmlns:m="http://schemas.openxmlformats.org/officeDocument/2006/math">
        <m:sSub>
          <m:e>
            <m:r>
              <w:rPr>
                <w:rFonts w:ascii="Cambria Math" w:hAnsi="Cambria Math"/>
              </w:rPr>
              <m:t xml:space="preserve">AMD</m:t>
            </m:r>
          </m:e>
          <m:sub>
            <m:r>
              <w:rPr>
                <w:rFonts w:ascii="Cambria Math" w:hAnsi="Cambria Math"/>
              </w:rPr>
              <m:t xml:space="preserve">i</m:t>
            </m:r>
          </m:sub>
        </m:sSub>
      </m:oMath>
      <w:r>
        <w:rPr>
          <w:rFonts w:cs="Times New Roman" w:ascii="Times New Roman" w:hAnsi="Times New Roman"/>
          <w:sz w:val="20"/>
          <w:szCs w:val="20"/>
        </w:rPr>
        <w:t xml:space="preserve">=Valor total das despesas e custos com depreciação e amortização no período </w:t>
      </w:r>
      <w:r>
        <w:rPr>
          <w:rFonts w:cs="Times New Roman" w:ascii="Times New Roman" w:hAnsi="Times New Roman"/>
          <w:i/>
          <w:sz w:val="20"/>
          <w:szCs w:val="20"/>
        </w:rPr>
        <w:t xml:space="preserve">i </w:t>
      </w:r>
      <w:r>
        <w:rPr>
          <w:rFonts w:cs="Times New Roman" w:ascii="Times New Roman" w:hAnsi="Times New Roman"/>
          <w:sz w:val="20"/>
          <w:szCs w:val="20"/>
        </w:rPr>
        <w:t>(deduzidos os créditos tributários, se houver);</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TAMD</m:t>
            </m:r>
          </m:e>
          <m:sub>
            <m:r>
              <w:rPr>
                <w:rFonts w:ascii="Cambria Math" w:hAnsi="Cambria Math"/>
              </w:rPr>
              <m:t xml:space="preserve">P</m:t>
            </m:r>
            <m:r>
              <w:rPr>
                <w:rFonts w:ascii="Cambria Math" w:hAnsi="Cambria Math"/>
              </w:rPr>
              <m:t xml:space="preserve">1</m:t>
            </m:r>
          </m:sub>
        </m:sSub>
      </m:oMath>
      <w:r>
        <w:rPr>
          <w:sz w:val="20"/>
          <w:szCs w:val="20"/>
        </w:rPr>
        <w:t xml:space="preserve">= Valor total das despesas e custos com depreciação e amortização realizados de </w:t>
      </w:r>
      <w:r>
        <w:rPr>
          <w:i/>
          <w:sz w:val="20"/>
          <w:szCs w:val="20"/>
        </w:rPr>
        <w:t>1;..;n</w:t>
      </w:r>
      <w:r>
        <w:rPr>
          <w:sz w:val="20"/>
          <w:szCs w:val="20"/>
        </w:rPr>
        <w:t xml:space="preserve"> a valores atualizados da data-base inicial até a data base-final;</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40" w:name="_Toc118711718"/>
      <w:bookmarkStart w:id="41" w:name="_Toc109911967"/>
      <w:r>
        <w:rPr/>
        <w:t>3.3.2 Remuneração do investimento reconhecido</w:t>
      </w:r>
      <w:bookmarkEnd w:id="40"/>
      <w:bookmarkEnd w:id="41"/>
    </w:p>
    <w:p>
      <w:pPr>
        <w:pStyle w:val="Normal"/>
        <w:rPr>
          <w:rFonts w:ascii="Times New Roman" w:hAnsi="Times New Roman"/>
          <w:sz w:val="24"/>
          <w:szCs w:val="24"/>
          <w:lang w:eastAsia="pt-BR"/>
        </w:rPr>
      </w:pPr>
      <w:r>
        <w:rPr>
          <w:rFonts w:ascii="Times New Roman" w:hAnsi="Times New Roman"/>
          <w:sz w:val="24"/>
          <w:szCs w:val="24"/>
          <w:lang w:eastAsia="pt-BR"/>
        </w:rPr>
      </w:r>
    </w:p>
    <w:p>
      <w:pPr>
        <w:pStyle w:val="Normal"/>
        <w:spacing w:lineRule="auto" w:line="360" w:before="0" w:after="0"/>
        <w:ind w:firstLine="709"/>
        <w:jc w:val="both"/>
        <w:rPr/>
      </w:pPr>
      <w:r>
        <w:rPr>
          <w:rFonts w:cs="Times New Roman" w:ascii="Times New Roman" w:hAnsi="Times New Roman"/>
          <w:sz w:val="24"/>
          <w:szCs w:val="24"/>
          <w:lang w:eastAsia="pt-BR"/>
        </w:rPr>
        <w:t>Segundo a Nota Técnica 001/2018 – ARSBAN, a “</w:t>
      </w:r>
      <w:r>
        <w:rPr>
          <w:rFonts w:cs="Times New Roman" w:ascii="Times New Roman" w:hAnsi="Times New Roman"/>
          <w:i/>
          <w:sz w:val="24"/>
          <w:szCs w:val="24"/>
          <w:lang w:eastAsia="pt-BR"/>
        </w:rPr>
        <w:t>[...] Base de remuneração regulatória (BRR) ou investimento reconhecido corresponde ao valor projetado dos recursos investidos pela concessionária em infraestrutura de prestação de serviços (inclusive para o apoio produtivo), mais os ativos circulantes para honrar as obrigações de curto prazo. A BRR é composta das seguintes parcelas: I) Capital circulante reconhecido (CCR); e II) Base de ativos regulatórios reconhecida (BAR)</w:t>
      </w:r>
      <w:r>
        <w:rPr>
          <w:rFonts w:cs="Times New Roman" w:ascii="Times New Roman" w:hAnsi="Times New Roman"/>
          <w:sz w:val="24"/>
          <w:szCs w:val="24"/>
          <w:lang w:eastAsia="pt-BR"/>
        </w:rPr>
        <w:t>”.</w:t>
      </w:r>
    </w:p>
    <w:p>
      <w:pPr>
        <w:pStyle w:val="Normal"/>
        <w:spacing w:lineRule="auto" w:line="360" w:before="0" w:after="0"/>
        <w:ind w:firstLine="709"/>
        <w:jc w:val="both"/>
        <w:rPr/>
      </w:pPr>
      <w:r>
        <w:rPr>
          <w:rFonts w:cs="Times New Roman" w:ascii="Times New Roman" w:hAnsi="Times New Roman"/>
          <w:sz w:val="24"/>
          <w:szCs w:val="24"/>
          <w:lang w:eastAsia="pt-BR"/>
        </w:rPr>
        <w:t xml:space="preserve">A mesma nota técnica informa que </w:t>
      </w:r>
      <w:r>
        <w:rPr>
          <w:rFonts w:cs="Times New Roman" w:ascii="Times New Roman" w:hAnsi="Times New Roman"/>
          <w:sz w:val="24"/>
          <w:szCs w:val="24"/>
        </w:rPr>
        <w:t>o capital circulante representa os recursos financeiros de rápida renovação e necessários para a concessionária continuar suas operações, proporcionando fluxo de caixa suficiente para honrar as obrigações de curto prazo, despesas e custos operacionais correntes, sendo composto por disponível em caixa; contas a receber de clientes; e; estoques, enquanto que, a base de ativos regulatórios reconhecida “</w:t>
      </w:r>
      <w:r>
        <w:rPr>
          <w:rFonts w:cs="Times New Roman" w:ascii="Times New Roman" w:hAnsi="Times New Roman"/>
          <w:i/>
          <w:sz w:val="24"/>
          <w:szCs w:val="24"/>
        </w:rPr>
        <w:t>[...] é um conjunto de elementos econômicos protegidos pelo dever que é atribuído aos reguladores de uma garantia efetiva de que o investimento da concessionária regulada será recuperado com o tempo via os consumidores dos serviços</w:t>
      </w:r>
      <w:r>
        <w:rPr>
          <w:rFonts w:cs="Times New Roman" w:ascii="Times New Roman" w:hAnsi="Times New Roman"/>
          <w:sz w:val="24"/>
          <w:szCs w:val="24"/>
        </w:rPr>
        <w:t xml:space="preserve">”. Sobre tais ativos, se aplica uma taxa de remuneração (geralmente o </w:t>
      </w:r>
      <w:r>
        <w:rPr>
          <w:rFonts w:cs="Times New Roman" w:ascii="Times New Roman" w:hAnsi="Times New Roman"/>
          <w:i/>
          <w:sz w:val="24"/>
          <w:szCs w:val="24"/>
        </w:rPr>
        <w:t>Weighted Average Capital Cost</w:t>
      </w:r>
      <w:r>
        <w:rPr>
          <w:rFonts w:cs="Times New Roman" w:ascii="Times New Roman" w:hAnsi="Times New Roman"/>
          <w:sz w:val="24"/>
          <w:szCs w:val="24"/>
        </w:rPr>
        <w:t xml:space="preserve"> – WACC regulatório), resultando na remuneração do investimento reconhecido.</w:t>
      </w:r>
    </w:p>
    <w:p>
      <w:pPr>
        <w:pStyle w:val="Normal"/>
        <w:spacing w:lineRule="auto" w:line="360" w:before="0" w:after="0"/>
        <w:ind w:firstLine="709"/>
        <w:jc w:val="both"/>
        <w:rPr/>
      </w:pPr>
      <w:r>
        <w:rPr>
          <w:rFonts w:cs="Times New Roman" w:ascii="Times New Roman" w:hAnsi="Times New Roman"/>
          <w:sz w:val="24"/>
          <w:szCs w:val="24"/>
          <w:lang w:eastAsia="pt-BR"/>
        </w:rPr>
        <w:t xml:space="preserve">Para o 4º ciclo tarifário, o valor total do investimento reconhecido foi de R$ </w:t>
      </w:r>
      <w:r>
        <w:rPr>
          <w:rFonts w:cs="Times New Roman" w:ascii="Times New Roman" w:hAnsi="Times New Roman"/>
          <w:color w:val="000000"/>
          <w:sz w:val="24"/>
          <w:szCs w:val="24"/>
        </w:rPr>
        <w:t>92.710.616,95 (ver Tabela 1), esse valor representa o total remunerado para todo ciclo tarifário, considerando a natureza cíclica da referida remuneração, o que resultaria em média mensal de R$ 1.931.471,19 (</w:t>
      </w:r>
      <w:r>
        <w:rPr>
          <w:rFonts w:cs="Times New Roman" w:ascii="Times New Roman" w:hAnsi="Times New Roman"/>
          <w:sz w:val="24"/>
          <w:szCs w:val="24"/>
          <w:lang w:eastAsia="pt-BR"/>
        </w:rPr>
        <w:t xml:space="preserve">R$ </w:t>
      </w:r>
      <w:r>
        <w:rPr>
          <w:rFonts w:cs="Times New Roman" w:ascii="Times New Roman" w:hAnsi="Times New Roman"/>
          <w:color w:val="000000"/>
          <w:sz w:val="24"/>
          <w:szCs w:val="24"/>
        </w:rPr>
        <w:t>92.710.616,95 ÷ 48 meses), como melhor aproximação à dinâmica da periodicidade mensal.</w:t>
      </w:r>
    </w:p>
    <w:p>
      <w:pPr>
        <w:pStyle w:val="Normal"/>
        <w:spacing w:lineRule="auto" w:line="360" w:before="0" w:after="0"/>
        <w:ind w:firstLine="708"/>
        <w:jc w:val="both"/>
        <w:rPr/>
      </w:pPr>
      <w:r>
        <w:rPr>
          <w:rFonts w:cs="Times New Roman" w:ascii="Times New Roman" w:hAnsi="Times New Roman"/>
          <w:color w:val="000000"/>
          <w:sz w:val="24"/>
          <w:szCs w:val="24"/>
        </w:rPr>
        <w:t>Neste sentido, os valores realizados com cada componente da base de remuneração deverão substituir os valores projetados no pleito de revisão tarifária original em seus respectivos períodos, resultando nos novos valores das remunerações de cada componente no ciclo ajustado à parcela realizada e possibilitando o cálculo do valor proporcional ao tempo sob o julgamento regulatório. Esta mesma lógica também deverá ser observada no momento da checagem anual.</w:t>
      </w:r>
    </w:p>
    <w:p>
      <w:pPr>
        <w:pStyle w:val="Normal"/>
        <w:spacing w:lineRule="auto" w:line="360" w:before="0" w:after="0"/>
        <w:ind w:firstLine="708"/>
        <w:jc w:val="both"/>
        <w:rPr/>
      </w:pPr>
      <w:r>
        <w:rPr>
          <w:rFonts w:cs="Times New Roman" w:ascii="Times New Roman" w:hAnsi="Times New Roman"/>
          <w:color w:val="000000"/>
          <w:sz w:val="24"/>
          <w:szCs w:val="24"/>
        </w:rPr>
        <w:t>Com relação à indexação da remuneração do investimento, a tendência da prática regulatória nacional é por uso do IPCA (explicado por ser um indicador mais abrangente e muito utilizado na atualização monetária das bases blindadas dos ativos regulatórios), que também terá sua aplicação indicada por esta metodologia, exceto para a parcela das contas a receber de clientes, que possui relação direta com o faturamento e deverá ser indexada pelo efeito médio tarifário.</w:t>
      </w:r>
    </w:p>
    <w:p>
      <w:pPr>
        <w:pStyle w:val="Normal"/>
        <w:spacing w:lineRule="auto" w:line="360" w:before="0" w:after="0"/>
        <w:ind w:firstLine="708"/>
        <w:jc w:val="both"/>
        <w:rPr/>
      </w:pPr>
      <w:r>
        <w:rPr>
          <w:rFonts w:cs="Times New Roman" w:ascii="Times New Roman" w:hAnsi="Times New Roman"/>
          <w:color w:val="000000"/>
          <w:sz w:val="24"/>
          <w:szCs w:val="24"/>
        </w:rPr>
        <w:t xml:space="preserve">As formulações matemáticas 81 a 86 representam o método de cálculo descrito até aqui, bem como os valores nas situações </w:t>
      </w:r>
      <w:r>
        <w:rPr>
          <w:rFonts w:cs="Times New Roman" w:ascii="Times New Roman" w:hAnsi="Times New Roman"/>
          <w:i/>
          <w:color w:val="000000"/>
          <w:sz w:val="24"/>
          <w:szCs w:val="24"/>
        </w:rPr>
        <w:t>P</w:t>
      </w:r>
      <w:r>
        <w:rPr>
          <w:rFonts w:cs="Times New Roman" w:ascii="Times New Roman" w:hAnsi="Times New Roman"/>
          <w:i/>
          <w:color w:val="000000"/>
          <w:sz w:val="24"/>
          <w:szCs w:val="24"/>
          <w:vertAlign w:val="subscript"/>
        </w:rPr>
        <w:t>0</w:t>
      </w:r>
      <w:r>
        <w:rPr>
          <w:rFonts w:cs="Times New Roman" w:ascii="Times New Roman" w:hAnsi="Times New Roman"/>
          <w:color w:val="000000"/>
          <w:sz w:val="24"/>
          <w:szCs w:val="24"/>
        </w:rPr>
        <w:t xml:space="preserve"> e </w:t>
      </w:r>
      <w:r>
        <w:rPr>
          <w:rFonts w:cs="Times New Roman" w:ascii="Times New Roman" w:hAnsi="Times New Roman"/>
          <w:i/>
          <w:color w:val="000000"/>
          <w:sz w:val="24"/>
          <w:szCs w:val="24"/>
        </w:rPr>
        <w:t>P</w:t>
      </w:r>
      <w:r>
        <w:rPr>
          <w:rFonts w:cs="Times New Roman" w:ascii="Times New Roman" w:hAnsi="Times New Roman"/>
          <w:i/>
          <w:color w:val="000000"/>
          <w:sz w:val="24"/>
          <w:szCs w:val="24"/>
          <w:vertAlign w:val="subscript"/>
        </w:rPr>
        <w:t>1</w:t>
      </w:r>
      <w:r>
        <w:rPr>
          <w:rFonts w:cs="Times New Roman" w:ascii="Times New Roman" w:hAnsi="Times New Roman"/>
          <w:color w:val="000000"/>
          <w:sz w:val="24"/>
          <w:szCs w:val="24"/>
        </w:rPr>
        <w:t xml:space="preserve"> de cada componente da remuneração do investimento reconhecido.</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8645" w:type="dxa"/>
        <w:jc w:val="left"/>
        <w:tblInd w:w="-109" w:type="dxa"/>
        <w:tblCellMar>
          <w:top w:w="0" w:type="dxa"/>
          <w:left w:w="108" w:type="dxa"/>
          <w:bottom w:w="0" w:type="dxa"/>
          <w:right w:w="108" w:type="dxa"/>
        </w:tblCellMar>
        <w:tblLook w:firstRow="1" w:noVBand="1" w:lastRow="0" w:firstColumn="1" w:lastColumn="0" w:noHBand="0" w:val="04a0"/>
      </w:tblPr>
      <w:tblGrid>
        <w:gridCol w:w="7764"/>
        <w:gridCol w:w="880"/>
      </w:tblGrid>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r>
                <w:rPr>
                  <w:rFonts w:ascii="Cambria Math" w:hAnsi="Cambria Math"/>
                </w:rPr>
                <m:t xml:space="preserve">RDISP</m:t>
              </m:r>
              <m:r>
                <w:rPr>
                  <w:rFonts w:ascii="Cambria Math" w:hAnsi="Cambria Math"/>
                </w:rPr>
                <m:t xml:space="preserve">+</m:t>
              </m:r>
              <m:r>
                <w:rPr>
                  <w:rFonts w:ascii="Cambria Math" w:hAnsi="Cambria Math"/>
                </w:rPr>
                <m:t xml:space="preserve">REST</m:t>
              </m:r>
              <m:r>
                <w:rPr>
                  <w:rFonts w:ascii="Cambria Math" w:hAnsi="Cambria Math"/>
                </w:rPr>
                <m:t xml:space="preserve">+</m:t>
              </m:r>
              <m:r>
                <w:rPr>
                  <w:rFonts w:ascii="Cambria Math" w:hAnsi="Cambria Math"/>
                </w:rPr>
                <m:t xml:space="preserve">RCRC</m:t>
              </m:r>
              <m:r>
                <w:rPr>
                  <w:rFonts w:ascii="Cambria Math" w:hAnsi="Cambria Math"/>
                </w:rPr>
                <m:t xml:space="preserve">+</m:t>
              </m:r>
              <m:r>
                <w:rPr>
                  <w:rFonts w:ascii="Cambria Math" w:hAnsi="Cambria Math"/>
                </w:rPr>
                <m:t xml:space="preserve">RBARR</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(81)</w:t>
            </w:r>
          </w:p>
        </w:tc>
      </w:tr>
      <w:tr>
        <w:trPr/>
        <w:tc>
          <w:tcPr>
            <w:tcW w:w="7764" w:type="dxa"/>
            <w:tcBorders/>
            <w:shd w:color="auto" w:fill="auto" w:val="clear"/>
          </w:tcPr>
          <w:p>
            <w:pPr>
              <w:pStyle w:val="Normal"/>
              <w:widowControl w:val="false"/>
              <w:spacing w:lineRule="auto" w:line="240" w:before="0" w:after="0"/>
              <w:jc w:val="center"/>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d>
                <m:dPr>
                  <m:begChr m:val="("/>
                  <m:endChr m:val=")"/>
                </m:dPr>
                <m:e>
                  <m:r>
                    <w:rPr>
                      <w:rFonts w:ascii="Cambria Math" w:hAnsi="Cambria Math"/>
                    </w:rPr>
                    <m:t xml:space="preserve">RDISP</m:t>
                  </m:r>
                  <m:r>
                    <w:rPr>
                      <w:rFonts w:ascii="Cambria Math" w:hAnsi="Cambria Math"/>
                    </w:rPr>
                    <m:t xml:space="preserve">×</m:t>
                  </m:r>
                  <m:r>
                    <w:rPr>
                      <w:rFonts w:ascii="Cambria Math" w:hAnsi="Cambria Math"/>
                    </w:rPr>
                    <m:t xml:space="preserve">IPCAIndex</m:t>
                  </m:r>
                </m:e>
              </m:d>
              <m:r>
                <w:rPr>
                  <w:rFonts w:ascii="Cambria Math" w:hAnsi="Cambria Math"/>
                </w:rPr>
                <m:t xml:space="preserve">+</m:t>
              </m:r>
              <m:d>
                <m:dPr>
                  <m:begChr m:val="("/>
                  <m:endChr m:val=")"/>
                </m:dPr>
                <m:e>
                  <m:r>
                    <w:rPr>
                      <w:rFonts w:ascii="Cambria Math" w:hAnsi="Cambria Math"/>
                    </w:rPr>
                    <m:t xml:space="preserve">REST</m:t>
                  </m:r>
                  <m:r>
                    <w:rPr>
                      <w:rFonts w:ascii="Cambria Math" w:hAnsi="Cambria Math"/>
                    </w:rPr>
                    <m:t xml:space="preserve">×</m:t>
                  </m:r>
                  <m:r>
                    <w:rPr>
                      <w:rFonts w:ascii="Cambria Math" w:hAnsi="Cambria Math"/>
                    </w:rPr>
                    <m:t xml:space="preserve">IPCAIndex</m:t>
                  </m:r>
                </m:e>
              </m:d>
              <m:r>
                <w:rPr>
                  <w:rFonts w:ascii="Cambria Math" w:hAnsi="Cambria Math"/>
                </w:rPr>
                <m:t xml:space="preserve">+</m:t>
              </m:r>
              <m:d>
                <m:dPr>
                  <m:begChr m:val="("/>
                  <m:endChr m:val=")"/>
                </m:dPr>
                <m:e>
                  <m:r>
                    <w:rPr>
                      <w:rFonts w:ascii="Cambria Math" w:hAnsi="Cambria Math"/>
                    </w:rPr>
                    <m:t xml:space="preserve">RCRC</m:t>
                  </m:r>
                  <m:r>
                    <w:rPr>
                      <w:rFonts w:ascii="Cambria Math" w:hAnsi="Cambria Math"/>
                    </w:rPr>
                    <m:t xml:space="preserve">×</m:t>
                  </m:r>
                  <m:r>
                    <w:rPr>
                      <w:rFonts w:ascii="Cambria Math" w:hAnsi="Cambria Math"/>
                    </w:rPr>
                    <m:t xml:space="preserve">ETMIndex</m:t>
                  </m:r>
                </m:e>
              </m:d>
              <m:r>
                <w:rPr>
                  <w:rFonts w:ascii="Cambria Math" w:hAnsi="Cambria Math"/>
                </w:rPr>
                <m:t xml:space="preserve">+</m:t>
              </m:r>
              <m:d>
                <m:dPr>
                  <m:begChr m:val="("/>
                  <m:endChr m:val=")"/>
                </m:dPr>
                <m:e>
                  <m:r>
                    <w:rPr>
                      <w:rFonts w:ascii="Cambria Math" w:hAnsi="Cambria Math"/>
                    </w:rPr>
                    <m:t xml:space="preserve">RBARR</m:t>
                  </m:r>
                  <m:r>
                    <w:rPr>
                      <w:rFonts w:ascii="Cambria Math" w:hAnsi="Cambria Math"/>
                    </w:rPr>
                    <m:t xml:space="preserve">×</m:t>
                  </m:r>
                  <m:r>
                    <w:rPr>
                      <w:rFonts w:ascii="Cambria Math" w:hAnsi="Cambria Math"/>
                    </w:rPr>
                    <m:t xml:space="preserve">IPCAIndex</m:t>
                  </m:r>
                </m:e>
              </m:d>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(82)</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RDISP</m:t>
              </m:r>
              <m:r>
                <w:rPr>
                  <w:rFonts w:ascii="Cambria Math" w:hAnsi="Cambria Math"/>
                </w:rPr>
                <m:t xml:space="preserve">=</m:t>
              </m:r>
              <m:f>
                <m:num>
                  <m:d>
                    <m:dPr>
                      <m:begChr m:val="("/>
                      <m:endChr m:val=")"/>
                    </m:dPr>
                    <m:e>
                      <m:sSub>
                        <m:e>
                          <m:r>
                            <w:rPr>
                              <w:rFonts w:ascii="Cambria Math" w:hAnsi="Cambria Math"/>
                            </w:rPr>
                            <m:t xml:space="preserve">B</m:t>
                          </m:r>
                          <m:r>
                            <w:rPr>
                              <w:rFonts w:ascii="Cambria Math" w:hAnsi="Cambria Math"/>
                            </w:rPr>
                            <m:t xml:space="preserve">RRDisp</m:t>
                          </m:r>
                        </m:e>
                        <m:sub>
                          <m:r>
                            <w:rPr>
                              <w:rFonts w:ascii="Cambria Math" w:hAnsi="Cambria Math"/>
                            </w:rPr>
                            <m:t xml:space="preserve">ciclo</m:t>
                          </m:r>
                        </m:sub>
                      </m:sSub>
                      <m:r>
                        <w:rPr>
                          <w:rFonts w:ascii="Cambria Math" w:hAnsi="Cambria Math"/>
                        </w:rPr>
                        <m:t xml:space="preserve">×</m:t>
                      </m:r>
                      <m:sSub>
                        <m:e>
                          <m:r>
                            <w:rPr>
                              <w:rFonts w:ascii="Cambria Math" w:hAnsi="Cambria Math"/>
                            </w:rPr>
                            <m:t xml:space="preserve">WACC</m:t>
                          </m:r>
                        </m:e>
                        <m:sub>
                          <m:r>
                            <w:rPr>
                              <w:rFonts w:ascii="Cambria Math" w:hAnsi="Cambria Math"/>
                            </w:rPr>
                            <m:t xml:space="preserve">ciclo</m:t>
                          </m:r>
                        </m:sub>
                      </m:sSub>
                    </m:e>
                  </m:d>
                </m:num>
                <m:den>
                  <m:r>
                    <w:rPr>
                      <w:rFonts w:ascii="Cambria Math" w:hAnsi="Cambria Math"/>
                    </w:rPr>
                    <m:t xml:space="preserve">N</m:t>
                  </m:r>
                </m:den>
              </m:f>
              <m:r>
                <w:rPr>
                  <w:rFonts w:ascii="Cambria Math" w:hAnsi="Cambria Math"/>
                </w:rPr>
                <m:t xml:space="preserve">×</m:t>
              </m:r>
              <m:r>
                <w:rPr>
                  <w:rFonts w:ascii="Cambria Math" w:hAnsi="Cambria Math"/>
                </w:rPr>
                <m:t xml:space="preserve">n</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(83)</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REST</m:t>
              </m:r>
              <m:r>
                <w:rPr>
                  <w:rFonts w:ascii="Cambria Math" w:hAnsi="Cambria Math"/>
                </w:rPr>
                <m:t xml:space="preserve">=</m:t>
              </m:r>
              <m:f>
                <m:num>
                  <m:d>
                    <m:dPr>
                      <m:begChr m:val="("/>
                      <m:endChr m:val=")"/>
                    </m:dPr>
                    <m:e>
                      <m:sSub>
                        <m:e>
                          <m:r>
                            <w:rPr>
                              <w:rFonts w:ascii="Cambria Math" w:hAnsi="Cambria Math"/>
                            </w:rPr>
                            <m:t xml:space="preserve">BRREst</m:t>
                          </m:r>
                        </m:e>
                        <m:sub>
                          <m:r>
                            <w:rPr>
                              <w:rFonts w:ascii="Cambria Math" w:hAnsi="Cambria Math"/>
                            </w:rPr>
                            <m:t xml:space="preserve">ciclo</m:t>
                          </m:r>
                        </m:sub>
                      </m:sSub>
                      <m:r>
                        <w:rPr>
                          <w:rFonts w:ascii="Cambria Math" w:hAnsi="Cambria Math"/>
                        </w:rPr>
                        <m:t xml:space="preserve">×</m:t>
                      </m:r>
                      <m:sSub>
                        <m:e>
                          <m:r>
                            <w:rPr>
                              <w:rFonts w:ascii="Cambria Math" w:hAnsi="Cambria Math"/>
                            </w:rPr>
                            <m:t xml:space="preserve">WACC</m:t>
                          </m:r>
                        </m:e>
                        <m:sub>
                          <m:r>
                            <w:rPr>
                              <w:rFonts w:ascii="Cambria Math" w:hAnsi="Cambria Math"/>
                            </w:rPr>
                            <m:t xml:space="preserve">ciclo</m:t>
                          </m:r>
                        </m:sub>
                      </m:sSub>
                    </m:e>
                  </m:d>
                </m:num>
                <m:den>
                  <m:r>
                    <w:rPr>
                      <w:rFonts w:ascii="Cambria Math" w:hAnsi="Cambria Math"/>
                    </w:rPr>
                    <m:t xml:space="preserve">N</m:t>
                  </m:r>
                </m:den>
              </m:f>
              <m:r>
                <w:rPr>
                  <w:rFonts w:ascii="Cambria Math" w:hAnsi="Cambria Math"/>
                </w:rPr>
                <m:t xml:space="preserve">×</m:t>
              </m:r>
              <m:r>
                <w:rPr>
                  <w:rFonts w:ascii="Cambria Math" w:hAnsi="Cambria Math"/>
                </w:rPr>
                <m:t xml:space="preserve">n</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(84)</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RCRC</m:t>
              </m:r>
              <m:r>
                <w:rPr>
                  <w:rFonts w:ascii="Cambria Math" w:hAnsi="Cambria Math"/>
                </w:rPr>
                <m:t xml:space="preserve">=</m:t>
              </m:r>
              <m:f>
                <m:num>
                  <m:d>
                    <m:dPr>
                      <m:begChr m:val="("/>
                      <m:endChr m:val=")"/>
                    </m:dPr>
                    <m:e>
                      <m:sSub>
                        <m:e>
                          <m:r>
                            <w:rPr>
                              <w:rFonts w:ascii="Cambria Math" w:hAnsi="Cambria Math"/>
                            </w:rPr>
                            <m:t xml:space="preserve">BRRCrc</m:t>
                          </m:r>
                        </m:e>
                        <m:sub>
                          <m:r>
                            <w:rPr>
                              <w:rFonts w:ascii="Cambria Math" w:hAnsi="Cambria Math"/>
                            </w:rPr>
                            <m:t xml:space="preserve">ciclo</m:t>
                          </m:r>
                        </m:sub>
                      </m:sSub>
                      <m:r>
                        <w:rPr>
                          <w:rFonts w:ascii="Cambria Math" w:hAnsi="Cambria Math"/>
                        </w:rPr>
                        <m:t xml:space="preserve">×</m:t>
                      </m:r>
                      <m:sSub>
                        <m:e>
                          <m:r>
                            <w:rPr>
                              <w:rFonts w:ascii="Cambria Math" w:hAnsi="Cambria Math"/>
                            </w:rPr>
                            <m:t xml:space="preserve">WACC</m:t>
                          </m:r>
                        </m:e>
                        <m:sub>
                          <m:r>
                            <w:rPr>
                              <w:rFonts w:ascii="Cambria Math" w:hAnsi="Cambria Math"/>
                            </w:rPr>
                            <m:t xml:space="preserve">ciclo</m:t>
                          </m:r>
                        </m:sub>
                      </m:sSub>
                    </m:e>
                  </m:d>
                </m:num>
                <m:den>
                  <m:r>
                    <w:rPr>
                      <w:rFonts w:ascii="Cambria Math" w:hAnsi="Cambria Math"/>
                    </w:rPr>
                    <m:t xml:space="preserve">N</m:t>
                  </m:r>
                </m:den>
              </m:f>
              <m:r>
                <w:rPr>
                  <w:rFonts w:ascii="Cambria Math" w:hAnsi="Cambria Math"/>
                </w:rPr>
                <m:t xml:space="preserve">×</m:t>
              </m:r>
              <m:r>
                <w:rPr>
                  <w:rFonts w:ascii="Cambria Math" w:hAnsi="Cambria Math"/>
                </w:rPr>
                <m:t xml:space="preserve">n</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(85)</w:t>
            </w:r>
          </w:p>
        </w:tc>
      </w:tr>
      <w:tr>
        <w:trPr/>
        <w:tc>
          <w:tcPr>
            <w:tcW w:w="7764" w:type="dxa"/>
            <w:tcBorders/>
            <w:shd w:color="auto" w:fill="auto" w:val="clear"/>
          </w:tcPr>
          <w:p>
            <w:pPr>
              <w:pStyle w:val="Normal"/>
              <w:widowControl w:val="false"/>
              <w:spacing w:lineRule="auto" w:line="360" w:before="0" w:after="0"/>
              <w:jc w:val="center"/>
              <w:rPr/>
            </w:pPr>
            <w:r>
              <w:rPr/>
            </w:r>
            <m:oMath xmlns:m="http://schemas.openxmlformats.org/officeDocument/2006/math">
              <m:r>
                <w:rPr>
                  <w:rFonts w:ascii="Cambria Math" w:hAnsi="Cambria Math"/>
                </w:rPr>
                <m:t xml:space="preserve">RBARR</m:t>
              </m:r>
              <m:r>
                <w:rPr>
                  <w:rFonts w:ascii="Cambria Math" w:hAnsi="Cambria Math"/>
                </w:rPr>
                <m:t xml:space="preserve">=</m:t>
              </m:r>
              <m:f>
                <m:num>
                  <m:d>
                    <m:dPr>
                      <m:begChr m:val="("/>
                      <m:endChr m:val=")"/>
                    </m:dPr>
                    <m:e>
                      <m:r>
                        <w:rPr>
                          <w:rFonts w:ascii="Cambria Math" w:hAnsi="Cambria Math"/>
                        </w:rPr>
                        <m:t xml:space="preserve">BRR</m:t>
                      </m:r>
                      <m:sSub>
                        <m:e>
                          <m:r>
                            <w:rPr>
                              <w:rFonts w:ascii="Cambria Math" w:hAnsi="Cambria Math"/>
                            </w:rPr>
                            <m:t xml:space="preserve">Barr</m:t>
                          </m:r>
                        </m:e>
                        <m:sub>
                          <m:r>
                            <w:rPr>
                              <w:rFonts w:ascii="Cambria Math" w:hAnsi="Cambria Math"/>
                            </w:rPr>
                            <m:t xml:space="preserve">ciclo</m:t>
                          </m:r>
                        </m:sub>
                      </m:sSub>
                      <m:r>
                        <w:rPr>
                          <w:rFonts w:ascii="Cambria Math" w:hAnsi="Cambria Math"/>
                        </w:rPr>
                        <m:t xml:space="preserve">×</m:t>
                      </m:r>
                      <m:sSub>
                        <m:e>
                          <m:r>
                            <w:rPr>
                              <w:rFonts w:ascii="Cambria Math" w:hAnsi="Cambria Math"/>
                            </w:rPr>
                            <m:t xml:space="preserve">WACC</m:t>
                          </m:r>
                        </m:e>
                        <m:sub>
                          <m:r>
                            <w:rPr>
                              <w:rFonts w:ascii="Cambria Math" w:hAnsi="Cambria Math"/>
                            </w:rPr>
                            <m:t xml:space="preserve">ciclo</m:t>
                          </m:r>
                        </m:sub>
                      </m:sSub>
                    </m:e>
                  </m:d>
                </m:num>
                <m:den>
                  <m:r>
                    <w:rPr>
                      <w:rFonts w:ascii="Cambria Math" w:hAnsi="Cambria Math"/>
                    </w:rPr>
                    <m:t xml:space="preserve">N</m:t>
                  </m:r>
                </m:den>
              </m:f>
              <m:r>
                <w:rPr>
                  <w:rFonts w:ascii="Cambria Math" w:hAnsi="Cambria Math"/>
                </w:rPr>
                <m:t xml:space="preserve">×</m:t>
              </m:r>
              <m:r>
                <w:rPr>
                  <w:rFonts w:ascii="Cambria Math" w:hAnsi="Cambria Math"/>
                </w:rPr>
                <m:t xml:space="preserve">n</m:t>
              </m:r>
            </m:oMath>
          </w:p>
        </w:tc>
        <w:tc>
          <w:tcPr>
            <w:tcW w:w="88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(86)</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Sendo: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0</m:t>
            </m:r>
          </m:sub>
        </m:sSub>
      </m:oMath>
      <w:r>
        <w:rPr>
          <w:sz w:val="20"/>
          <w:szCs w:val="20"/>
        </w:rPr>
        <w:t xml:space="preserve">= Valor total da remuneração do investimento reconhecido calculado de </w:t>
      </w:r>
      <w:r>
        <w:rPr>
          <w:i/>
          <w:sz w:val="20"/>
          <w:szCs w:val="20"/>
        </w:rPr>
        <w:t>1;..;n</w:t>
      </w:r>
      <w:r>
        <w:rPr>
          <w:sz w:val="20"/>
          <w:szCs w:val="20"/>
        </w:rPr>
        <w:t xml:space="preserve"> a valores históricos no intervalo sob análise e pactuados na revisão tarifária em vigor para os demais períodos;</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TRIR</m:t>
            </m:r>
          </m:e>
          <m:sub>
            <m:r>
              <w:rPr>
                <w:rFonts w:ascii="Cambria Math" w:hAnsi="Cambria Math"/>
              </w:rPr>
              <m:t xml:space="preserve">P</m:t>
            </m:r>
            <m:r>
              <w:rPr>
                <w:rFonts w:ascii="Cambria Math" w:hAnsi="Cambria Math"/>
              </w:rPr>
              <m:t xml:space="preserve">1</m:t>
            </m:r>
          </m:sub>
        </m:sSub>
      </m:oMath>
      <w:r>
        <w:rPr>
          <w:sz w:val="20"/>
          <w:szCs w:val="20"/>
        </w:rPr>
        <w:t xml:space="preserve">= Valor total da remuneração do investimento reconhecido calculado de </w:t>
      </w:r>
      <w:r>
        <w:rPr>
          <w:i/>
          <w:sz w:val="20"/>
          <w:szCs w:val="20"/>
        </w:rPr>
        <w:t>1;..;n</w:t>
      </w:r>
      <w:r>
        <w:rPr>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hanging="0"/>
        <w:rPr/>
      </w:pPr>
      <w:r>
        <w:rPr/>
      </w:r>
      <m:oMath xmlns:m="http://schemas.openxmlformats.org/officeDocument/2006/math">
        <m:r>
          <w:rPr>
            <w:rFonts w:ascii="Cambria Math" w:hAnsi="Cambria Math"/>
          </w:rPr>
          <m:t xml:space="preserve">RDISP</m:t>
        </m:r>
      </m:oMath>
      <w:r>
        <w:rPr>
          <w:sz w:val="20"/>
          <w:szCs w:val="20"/>
        </w:rPr>
        <w:t>= Valor total da parcela do disponível na remuneração do investimento reconhecido calculado para o intervalo de tempo em análise;</w:t>
      </w:r>
    </w:p>
    <w:p>
      <w:pPr>
        <w:pStyle w:val="AaaaaaaRapido"/>
        <w:tabs>
          <w:tab w:val="clear" w:pos="720"/>
          <w:tab w:val="left" w:pos="1519" w:leader="none"/>
        </w:tabs>
        <w:spacing w:lineRule="auto" w:line="240" w:before="0" w:after="0"/>
        <w:ind w:hanging="0"/>
        <w:rPr/>
      </w:pPr>
      <w:r>
        <w:rPr/>
      </w:r>
      <m:oMath xmlns:m="http://schemas.openxmlformats.org/officeDocument/2006/math">
        <m:r>
          <w:rPr>
            <w:rFonts w:ascii="Cambria Math" w:hAnsi="Cambria Math"/>
          </w:rPr>
          <m:t xml:space="preserve">REST</m:t>
        </m:r>
      </m:oMath>
      <w:r>
        <w:rPr>
          <w:sz w:val="20"/>
          <w:szCs w:val="20"/>
        </w:rPr>
        <w:t>= Valor total da parcela do estoque na remuneração do investimento reconhecido calculado para o intervalo de tempo em análise;</w:t>
      </w:r>
    </w:p>
    <w:p>
      <w:pPr>
        <w:pStyle w:val="AaaaaaaRapido"/>
        <w:tabs>
          <w:tab w:val="clear" w:pos="720"/>
          <w:tab w:val="left" w:pos="1519" w:leader="none"/>
        </w:tabs>
        <w:spacing w:lineRule="auto" w:line="240" w:before="0" w:after="0"/>
        <w:ind w:hanging="0"/>
        <w:rPr/>
      </w:pPr>
      <w:r>
        <w:rPr/>
      </w:r>
      <m:oMath xmlns:m="http://schemas.openxmlformats.org/officeDocument/2006/math">
        <m:r>
          <w:rPr>
            <w:rFonts w:ascii="Cambria Math" w:hAnsi="Cambria Math"/>
          </w:rPr>
          <m:t xml:space="preserve">RCRC</m:t>
        </m:r>
      </m:oMath>
      <w:r>
        <w:rPr>
          <w:sz w:val="20"/>
          <w:szCs w:val="20"/>
        </w:rPr>
        <w:t>= Valor total da parcela das contas a receber de clientes na remuneração do investimento reconhecido calculado para o intervalo de tempo em análise;</w:t>
      </w:r>
    </w:p>
    <w:p>
      <w:pPr>
        <w:pStyle w:val="AaaaaaaRapido"/>
        <w:tabs>
          <w:tab w:val="clear" w:pos="720"/>
          <w:tab w:val="left" w:pos="1519" w:leader="none"/>
        </w:tabs>
        <w:spacing w:lineRule="auto" w:line="240" w:before="0" w:after="0"/>
        <w:ind w:hanging="0"/>
        <w:rPr/>
      </w:pPr>
      <w:r>
        <w:rPr/>
      </w:r>
      <m:oMath xmlns:m="http://schemas.openxmlformats.org/officeDocument/2006/math">
        <m:r>
          <w:rPr>
            <w:rFonts w:ascii="Cambria Math" w:hAnsi="Cambria Math"/>
          </w:rPr>
          <m:t xml:space="preserve">TBARR</m:t>
        </m:r>
      </m:oMath>
      <w:r>
        <w:rPr>
          <w:sz w:val="20"/>
          <w:szCs w:val="20"/>
        </w:rPr>
        <w:t>= Valor total da parcela da base de ativos regulatórios remuneráveis reconhecidos na remuneração do investimento reconhecido calculado para o intervalo de tempo em análise;</w:t>
      </w:r>
    </w:p>
    <w:p>
      <w:pPr>
        <w:pStyle w:val="Normal"/>
        <w:spacing w:lineRule="auto" w:line="240" w:before="0" w:after="0"/>
        <w:jc w:val="both"/>
        <w:rPr/>
      </w:pPr>
      <w:r>
        <w:rPr/>
      </w:r>
      <m:oMath xmlns:m="http://schemas.openxmlformats.org/officeDocument/2006/math">
        <m:r>
          <w:rPr>
            <w:rFonts w:ascii="Cambria Math" w:hAnsi="Cambria Math"/>
          </w:rPr>
          <m:t xml:space="preserve">IPCAIndex</m:t>
        </m:r>
      </m:oMath>
      <w:r>
        <w:rPr>
          <w:rFonts w:cs="Times New Roman" w:ascii="Times New Roman" w:hAnsi="Times New Roman"/>
          <w:sz w:val="20"/>
          <w:szCs w:val="20"/>
        </w:rPr>
        <w:t>= Índice de reajuste das despesas e custos indexados pelo IPCA.</w:t>
      </w:r>
    </w:p>
    <w:p>
      <w:pPr>
        <w:pStyle w:val="Normal"/>
        <w:spacing w:lineRule="auto" w:line="240" w:before="0" w:after="0"/>
        <w:jc w:val="both"/>
        <w:rPr/>
      </w:pPr>
      <w:r>
        <w:rPr/>
      </w:r>
      <m:oMath xmlns:m="http://schemas.openxmlformats.org/officeDocument/2006/math">
        <m:r>
          <w:rPr>
            <w:rFonts w:ascii="Cambria Math" w:hAnsi="Cambria Math"/>
          </w:rPr>
          <m:t xml:space="preserve">ETMIndex</m:t>
        </m:r>
      </m:oMath>
      <w:r>
        <w:rPr>
          <w:rFonts w:cs="Times New Roman" w:ascii="Times New Roman" w:hAnsi="Times New Roman"/>
          <w:sz w:val="20"/>
          <w:szCs w:val="20"/>
        </w:rPr>
        <w:t>= Índice de reajuste das despesas indexadas pelo efeito médio tarifário;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BRRDisp</m:t>
            </m:r>
          </m:e>
          <m:sub>
            <m:r>
              <w:rPr>
                <w:rFonts w:ascii="Cambria Math" w:hAnsi="Cambria Math"/>
              </w:rPr>
              <m:t xml:space="preserve">ciclo</m:t>
            </m:r>
          </m:sub>
        </m:sSub>
      </m:oMath>
      <w:r>
        <w:rPr>
          <w:sz w:val="20"/>
          <w:szCs w:val="20"/>
        </w:rPr>
        <w:t xml:space="preserve">= Valor total da base remuneração correspondente ao disponível reconhecido calculado de </w:t>
      </w:r>
      <w:r>
        <w:rPr>
          <w:i/>
          <w:sz w:val="20"/>
          <w:szCs w:val="20"/>
        </w:rPr>
        <w:t>1;..;n</w:t>
      </w:r>
      <w:r>
        <w:rPr>
          <w:sz w:val="20"/>
          <w:szCs w:val="20"/>
        </w:rPr>
        <w:t xml:space="preserve"> a valores históricos no intervalo sob análise e pactuados na revisão tarifária em vigor para os demais períodos do ciclo tarifário;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BRREst</m:t>
            </m:r>
          </m:e>
          <m:sub>
            <m:r>
              <w:rPr>
                <w:rFonts w:ascii="Cambria Math" w:hAnsi="Cambria Math"/>
              </w:rPr>
              <m:t xml:space="preserve">ciclo</m:t>
            </m:r>
          </m:sub>
        </m:sSub>
      </m:oMath>
      <w:r>
        <w:rPr>
          <w:sz w:val="20"/>
          <w:szCs w:val="20"/>
        </w:rPr>
        <w:t xml:space="preserve">= Valor total da base remuneração correspondente ao estoque reconhecido calculado de </w:t>
      </w:r>
      <w:r>
        <w:rPr>
          <w:i/>
          <w:sz w:val="20"/>
          <w:szCs w:val="20"/>
        </w:rPr>
        <w:t>1;..;n</w:t>
      </w:r>
      <w:r>
        <w:rPr>
          <w:sz w:val="20"/>
          <w:szCs w:val="20"/>
        </w:rPr>
        <w:t xml:space="preserve"> a valores históricos no intervalo sob análise e pactuados na revisão tarifária em vigor para os demais períodos do ciclo tarifário;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BRRCrc</m:t>
            </m:r>
          </m:e>
          <m:sub>
            <m:r>
              <w:rPr>
                <w:rFonts w:ascii="Cambria Math" w:hAnsi="Cambria Math"/>
              </w:rPr>
              <m:t xml:space="preserve">ciclo</m:t>
            </m:r>
          </m:sub>
        </m:sSub>
      </m:oMath>
      <w:r>
        <w:rPr>
          <w:sz w:val="20"/>
          <w:szCs w:val="20"/>
        </w:rPr>
        <w:t xml:space="preserve">= Valor total da base remuneração correspondente às contas a receber de clientes calculado de </w:t>
      </w:r>
      <w:r>
        <w:rPr>
          <w:i/>
          <w:sz w:val="20"/>
          <w:szCs w:val="20"/>
        </w:rPr>
        <w:t>1;..;n</w:t>
      </w:r>
      <w:r>
        <w:rPr>
          <w:sz w:val="20"/>
          <w:szCs w:val="20"/>
        </w:rPr>
        <w:t xml:space="preserve"> a valores históricos no intervalo sob análise e pactuados na revisão tarifária em vigor para os demais períodos do ciclo tarifário;</w:t>
      </w:r>
    </w:p>
    <w:p>
      <w:pPr>
        <w:pStyle w:val="AaaaaaaRapido"/>
        <w:tabs>
          <w:tab w:val="clear" w:pos="720"/>
          <w:tab w:val="left" w:pos="1519" w:leader="none"/>
        </w:tabs>
        <w:spacing w:lineRule="auto" w:line="240" w:before="0" w:after="0"/>
        <w:ind w:hanging="0"/>
        <w:rPr/>
      </w:pPr>
      <w:r>
        <w:rPr/>
      </w:r>
      <m:oMath xmlns:m="http://schemas.openxmlformats.org/officeDocument/2006/math">
        <m:sSub>
          <m:e>
            <m:r>
              <w:rPr>
                <w:rFonts w:ascii="Cambria Math" w:hAnsi="Cambria Math"/>
              </w:rPr>
              <m:t xml:space="preserve">BRRBarr</m:t>
            </m:r>
          </m:e>
          <m:sub>
            <m:r>
              <w:rPr>
                <w:rFonts w:ascii="Cambria Math" w:hAnsi="Cambria Math"/>
              </w:rPr>
              <m:t xml:space="preserve">ciclo</m:t>
            </m:r>
          </m:sub>
        </m:sSub>
      </m:oMath>
      <w:r>
        <w:rPr>
          <w:sz w:val="20"/>
          <w:szCs w:val="20"/>
        </w:rPr>
        <w:t xml:space="preserve">= Valor total da base remuneração correspondente à base de ativos regulatórios reconhecidos calculado de </w:t>
      </w:r>
      <w:r>
        <w:rPr>
          <w:i/>
          <w:sz w:val="20"/>
          <w:szCs w:val="20"/>
        </w:rPr>
        <w:t>1;..;n</w:t>
      </w:r>
      <w:r>
        <w:rPr>
          <w:sz w:val="20"/>
          <w:szCs w:val="20"/>
        </w:rPr>
        <w:t xml:space="preserve"> a valores históricos (a valor novo de reposição para os bens adquiridos/construídos  até 31/12/2018) no intervalo sob análise e pactuados na revisão tarifária em vigor para os demais períodos do ciclo tarifário;</w:t>
      </w:r>
    </w:p>
    <w:p>
      <w:pPr>
        <w:pStyle w:val="AaaaaaaRapido"/>
        <w:tabs>
          <w:tab w:val="clear" w:pos="720"/>
          <w:tab w:val="left" w:pos="1519" w:leader="none"/>
        </w:tabs>
        <w:spacing w:lineRule="auto" w:line="240" w:before="0" w:after="0"/>
        <w:ind w:hanging="0"/>
        <w:rPr>
          <w:sz w:val="20"/>
          <w:szCs w:val="20"/>
        </w:rPr>
      </w:pPr>
      <w:r>
        <w:rPr/>
      </w:r>
      <m:oMath xmlns:m="http://schemas.openxmlformats.org/officeDocument/2006/math">
        <m:sSub>
          <m:e>
            <m:r>
              <w:rPr>
                <w:rFonts w:ascii="Cambria Math" w:hAnsi="Cambria Math"/>
              </w:rPr>
              <m:t xml:space="preserve">WACC</m:t>
            </m:r>
          </m:e>
          <m:sub>
            <m:r>
              <w:rPr>
                <w:rFonts w:ascii="Cambria Math" w:hAnsi="Cambria Math"/>
              </w:rPr>
              <m:t xml:space="preserve">ciclo</m:t>
            </m:r>
          </m:sub>
        </m:sSub>
      </m:oMath>
      <w:r>
        <w:rPr>
          <w:sz w:val="20"/>
          <w:szCs w:val="20"/>
        </w:rPr>
        <w:t>= taxa de remuneração regulatória estabelecida para o ciclo tarifário em vigor;</w:t>
      </w:r>
    </w:p>
    <w:p>
      <w:pPr>
        <w:pStyle w:val="AaaaaaaRapido"/>
        <w:tabs>
          <w:tab w:val="clear" w:pos="720"/>
          <w:tab w:val="left" w:pos="1519" w:leader="none"/>
        </w:tabs>
        <w:spacing w:lineRule="auto" w:line="240" w:before="0" w:after="0"/>
        <w:ind w:hanging="0"/>
        <w:rPr>
          <w:sz w:val="20"/>
          <w:szCs w:val="20"/>
        </w:rPr>
      </w:pPr>
      <w:r>
        <w:rPr/>
      </w:r>
      <m:oMath xmlns:m="http://schemas.openxmlformats.org/officeDocument/2006/math">
        <m:r>
          <w:rPr>
            <w:rFonts w:ascii="Cambria Math" w:hAnsi="Cambria Math"/>
          </w:rPr>
          <m:t xml:space="preserve">N</m:t>
        </m:r>
      </m:oMath>
      <w:r>
        <w:rPr>
          <w:sz w:val="20"/>
          <w:szCs w:val="20"/>
        </w:rPr>
        <w:t>= Número de períodos (meses) estabelecidos para o ciclo tarifário em vigor.</w:t>
      </w:r>
    </w:p>
    <w:p>
      <w:pPr>
        <w:pStyle w:val="Normal"/>
        <w:spacing w:lineRule="auto" w:line="240" w:before="0" w:after="0"/>
        <w:jc w:val="both"/>
        <w:rPr/>
      </w:pPr>
      <w:r>
        <w:rPr/>
      </w:r>
      <m:oMath xmlns:m="http://schemas.openxmlformats.org/officeDocument/2006/math">
        <m:r>
          <w:rPr>
            <w:rFonts w:ascii="Cambria Math" w:hAnsi="Cambria Math"/>
          </w:rPr>
          <m:t xml:space="preserve">i</m:t>
        </m:r>
      </m:oMath>
      <w:r>
        <w:rPr>
          <w:rFonts w:cs="Times New Roman" w:ascii="Times New Roman" w:hAnsi="Times New Roman"/>
          <w:sz w:val="20"/>
          <w:szCs w:val="20"/>
        </w:rPr>
        <w:t>= 1;..;</w:t>
      </w:r>
      <w:r>
        <w:rPr>
          <w:rFonts w:cs="Times New Roman" w:ascii="Times New Roman" w:hAnsi="Times New Roman"/>
          <w:i/>
          <w:sz w:val="20"/>
          <w:szCs w:val="20"/>
        </w:rPr>
        <w:t xml:space="preserve">n </w:t>
      </w:r>
      <w:r>
        <w:rPr>
          <w:rFonts w:cs="Times New Roman" w:ascii="Times New Roman" w:hAnsi="Times New Roman"/>
          <w:sz w:val="20"/>
          <w:szCs w:val="20"/>
        </w:rPr>
        <w:t>(período = mês/ano).</w:t>
      </w:r>
    </w:p>
    <w:p>
      <w:pPr>
        <w:pStyle w:val="Normal"/>
        <w:rPr>
          <w:rFonts w:ascii="Times New Roman" w:hAnsi="Times New Roman"/>
          <w:sz w:val="24"/>
          <w:szCs w:val="24"/>
          <w:lang w:eastAsia="pt-BR"/>
        </w:rPr>
      </w:pPr>
      <w:r>
        <w:rPr>
          <w:rFonts w:ascii="Times New Roman" w:hAnsi="Times New Roman"/>
          <w:sz w:val="24"/>
          <w:szCs w:val="24"/>
          <w:lang w:eastAsia="pt-BR"/>
        </w:rPr>
      </w:r>
    </w:p>
    <w:p>
      <w:pPr>
        <w:pStyle w:val="Normal"/>
        <w:spacing w:lineRule="auto" w:line="360" w:before="0" w:after="0"/>
        <w:ind w:firstLine="708"/>
        <w:jc w:val="both"/>
        <w:rPr>
          <w:rFonts w:ascii="Times New Roman" w:hAnsi="Times New Roman" w:cs="Times New Roman"/>
          <w:sz w:val="24"/>
          <w:szCs w:val="24"/>
          <w:lang w:eastAsia="pt-BR"/>
        </w:rPr>
      </w:pPr>
      <w:r>
        <w:rPr>
          <w:rFonts w:cs="Times New Roman" w:ascii="Times New Roman" w:hAnsi="Times New Roman"/>
          <w:sz w:val="24"/>
          <w:szCs w:val="24"/>
          <w:lang w:eastAsia="pt-BR"/>
        </w:rPr>
        <w:t>Assim como estabelecido para as despesas e custos com depreciação e amortização, os parâmetros de mensuração, reconhecimento e limites regulatórios também deverão ser observados na construção dos valores dos componentes da remuneração dos investimentos reconhecidos, principalmente a observância ao valor da base blindada dos ativos</w:t>
      </w:r>
      <w:r>
        <w:rPr>
          <w:rFonts w:cs="Times New Roman" w:ascii="Times New Roman" w:hAnsi="Times New Roman"/>
          <w:strike/>
          <w:sz w:val="24"/>
          <w:szCs w:val="24"/>
          <w:lang w:eastAsia="pt-BR"/>
        </w:rPr>
        <w:t>,</w:t>
      </w:r>
      <w:r>
        <w:rPr>
          <w:rFonts w:cs="Times New Roman" w:ascii="Times New Roman" w:hAnsi="Times New Roman"/>
          <w:sz w:val="24"/>
          <w:szCs w:val="24"/>
          <w:lang w:eastAsia="pt-BR"/>
        </w:rPr>
        <w:t xml:space="preserve"> e a nota técnica de metodologia de revisão tarifária e de base de ativos em vigor (atualmente, a NT 001/2018 – ARSBAN).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tulo11"/>
        <w:numPr>
          <w:ilvl w:val="0"/>
          <w:numId w:val="0"/>
        </w:numPr>
        <w:ind w:left="432" w:hanging="432"/>
        <w:rPr/>
      </w:pPr>
      <w:bookmarkStart w:id="42" w:name="_Toc118711719"/>
      <w:bookmarkStart w:id="43" w:name="_Toc109911968"/>
      <w:r>
        <w:rPr/>
        <w:t>4 DISPOSIÇÕES FINAIS</w:t>
      </w:r>
      <w:bookmarkEnd w:id="42"/>
      <w:bookmarkEnd w:id="43"/>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pPr>
      <w:r>
        <w:rPr>
          <w:rFonts w:cs="Times New Roman" w:ascii="Times New Roman" w:hAnsi="Times New Roman"/>
          <w:sz w:val="24"/>
          <w:szCs w:val="24"/>
        </w:rPr>
        <w:t>O reajuste tarifário é a proteção para manutenção do equilíbrio econômico-financeiro dos serviços prestados à sociedade pela concessionária, dessa forma, a metodologia de reajuste necessita captar a maior quantidade de regras sobre mensurações, reconhecimentos e limites regulatórios possíveis e estabelecidos pela metodologia e pleito de revisão tarifária em vigor (homologado).</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No cenário regulatório brasileiro atual, para serviços de abastecimento de água e esgotamento sanitário, a aplicação de indexação dos reajustes tarifários com base no IPCA tem sido predominante, principalmente pelo fato de ser um indicador inflacionário/deflacionário mais abrangente e bastante utilizado</w:t>
      </w:r>
      <w:r>
        <w:rPr>
          <w:rFonts w:cs="Times New Roman" w:ascii="Times New Roman" w:hAnsi="Times New Roman"/>
          <w:strike/>
          <w:sz w:val="24"/>
          <w:szCs w:val="24"/>
        </w:rPr>
        <w:t>,</w:t>
      </w:r>
      <w:r>
        <w:rPr>
          <w:rFonts w:cs="Times New Roman" w:ascii="Times New Roman" w:hAnsi="Times New Roman"/>
          <w:sz w:val="24"/>
          <w:szCs w:val="24"/>
        </w:rPr>
        <w:t xml:space="preserve"> quando os contratos de concessões fixam uma regra de reajuste.</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O contrato de concessão em vigor, firmado para prestação dos serviços de abastecimento de água e esgotamento sanitário no município do Natal, não contempla uma regra de utilização de um indicador específico para as hipóteses de reajuste tarifário, cabendo a ARSBAN estabelecer uma metodologia para tal fim.</w:t>
      </w:r>
    </w:p>
    <w:p>
      <w:pPr>
        <w:pStyle w:val="Normal"/>
        <w:spacing w:lineRule="auto" w:line="360" w:before="0" w:after="0"/>
        <w:ind w:firstLine="708"/>
        <w:jc w:val="both"/>
        <w:rPr/>
      </w:pPr>
      <w:r>
        <w:rPr>
          <w:rFonts w:cs="Times New Roman" w:ascii="Times New Roman" w:hAnsi="Times New Roman"/>
          <w:sz w:val="24"/>
          <w:szCs w:val="24"/>
        </w:rPr>
        <w:t>A utilização de um único índice para contemplação dos efeitos inflacionários e deflacionários na tarifa dos serviços prestados poderá acarretar em tarifas injustas para o consumidor ou para a concessionária. Neste sentido, a modelagem em formato de composto de índices específicos de cada insumo produtivo atenua os riscos de distorções tarifárias. Além disso, a concessionária já apresentava seus pleitos de reajustes tarifários nesta formatação, contudo de forma mais simplificada, somente cobrindo 70,90% da composição tarifária do 4º ciclo (Despesas e custos com pessoal = 36,21% + Despesas e custos com materiais = 3,35% + Despesas e custos com energia elétrica = 11,94% + Despesas e custos com outros serviços de terceiros = 17,77% + Despesas e custos gerais projetados = 1,63%, conforme tabela 1) e sem uma regra estabelecida pelo ente regulador.</w:t>
      </w:r>
    </w:p>
    <w:p>
      <w:pPr>
        <w:pStyle w:val="Normal"/>
        <w:spacing w:lineRule="auto" w:line="360" w:before="0" w:after="0"/>
        <w:ind w:firstLine="708"/>
        <w:jc w:val="both"/>
        <w:rPr/>
      </w:pPr>
      <w:r>
        <w:rPr>
          <w:rFonts w:cs="Times New Roman" w:ascii="Times New Roman" w:hAnsi="Times New Roman"/>
          <w:sz w:val="24"/>
          <w:szCs w:val="24"/>
        </w:rPr>
        <w:t>O composto de índices corresponde a uma regra de média ponderada dos efeitos inflacionários e deflacionários nos valores realizados de todos os componentes tarifários, inclusive os que não representam consumo de insumos produtivos, como a remuneração do investimento, ou seja, a cesta de índices deve abranger toda formação tarifária estabelecida no pleito de revisão tarifária para o ciclo em vigor, o que não estava sendo observado anteriormente e, por este motivo, a prática anterior foi modificada para a metodologia agora proposta.</w:t>
      </w:r>
    </w:p>
    <w:p>
      <w:pPr>
        <w:pStyle w:val="Normal"/>
        <w:spacing w:lineRule="auto" w:line="360" w:before="0" w:after="0"/>
        <w:ind w:firstLine="708"/>
        <w:jc w:val="both"/>
        <w:rPr/>
      </w:pPr>
      <w:r>
        <w:rPr>
          <w:rFonts w:cs="Times New Roman" w:ascii="Times New Roman" w:hAnsi="Times New Roman"/>
          <w:sz w:val="24"/>
          <w:szCs w:val="24"/>
        </w:rPr>
        <w:t>Na notação matemática 2 (</w:t>
      </w:r>
      <w:r>
        <w:rPr/>
      </w:r>
      <m:oMath xmlns:m="http://schemas.openxmlformats.org/officeDocument/2006/math">
        <m:r>
          <w:rPr>
            <w:rFonts w:ascii="Cambria Math" w:hAnsi="Cambria Math"/>
          </w:rPr>
          <m:t xml:space="preserve">IrT</m:t>
        </m:r>
        <m:r>
          <w:rPr>
            <w:rFonts w:ascii="Cambria Math" w:hAnsi="Cambria Math"/>
          </w:rPr>
          <m:t xml:space="preserve">=</m:t>
        </m:r>
        <m:d>
          <m:dPr>
            <m:begChr m:val="["/>
            <m:endChr m:val="]"/>
          </m:dPr>
          <m:e>
            <m:d>
              <m:dPr>
                <m:begChr m:val=""/>
                <m:endChr m:val=""/>
              </m:dPr>
              <m:e>
                <m:d>
                  <m:dPr>
                    <m:begChr m:val="("/>
                    <m:endChr m:val=")"/>
                  </m:dPr>
                  <m:e>
                    <m:r>
                      <w:rPr>
                        <w:rFonts w:ascii="Cambria Math" w:hAnsi="Cambria Math"/>
                      </w:rPr>
                      <m:t xml:space="preserve">RINDEX</m:t>
                    </m:r>
                    <m:r>
                      <w:rPr>
                        <w:rFonts w:ascii="Cambria Math" w:hAnsi="Cambria Math"/>
                      </w:rPr>
                      <m:t xml:space="preserve">±</m:t>
                    </m:r>
                    <m:r>
                      <w:rPr>
                        <w:rFonts w:ascii="Cambria Math" w:hAnsi="Cambria Math"/>
                      </w:rPr>
                      <m:t xml:space="preserve">Fx</m:t>
                    </m:r>
                    <m:r>
                      <w:rPr>
                        <w:rFonts w:ascii="Cambria Math" w:hAnsi="Cambria Math"/>
                      </w:rPr>
                      <m:t xml:space="preserve">±</m:t>
                    </m:r>
                    <m:r>
                      <w:rPr>
                        <w:rFonts w:ascii="Cambria Math" w:hAnsi="Cambria Math"/>
                      </w:rPr>
                      <m:t xml:space="preserve">Fk</m:t>
                    </m:r>
                    <m:r>
                      <w:rPr>
                        <w:rFonts w:ascii="Cambria Math" w:hAnsi="Cambria Math"/>
                      </w:rPr>
                      <m:t xml:space="preserve">±</m:t>
                    </m:r>
                    <m:r>
                      <w:rPr>
                        <w:rFonts w:ascii="Cambria Math" w:hAnsi="Cambria Math"/>
                      </w:rPr>
                      <m:t xml:space="preserve">AJ</m:t>
                    </m:r>
                  </m:e>
                </m:d>
              </m:e>
            </m:d>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100</m:t>
        </m:r>
      </m:oMath>
      <w:r>
        <w:rPr>
          <w:rFonts w:cs="Times New Roman" w:ascii="Times New Roman" w:hAnsi="Times New Roman"/>
          <w:sz w:val="24"/>
          <w:szCs w:val="24"/>
        </w:rPr>
        <w:t xml:space="preserve">) é possível observar que o índice de alteração tarifária resultante do reajuste tarifário - </w:t>
      </w:r>
      <w:r>
        <w:rPr/>
      </w:r>
      <m:oMath xmlns:m="http://schemas.openxmlformats.org/officeDocument/2006/math">
        <m:r>
          <w:rPr>
            <w:rFonts w:ascii="Cambria Math" w:hAnsi="Cambria Math"/>
          </w:rPr>
          <m:t xml:space="preserve">IrT</m:t>
        </m:r>
      </m:oMath>
      <w:r>
        <w:rPr>
          <w:rFonts w:cs="Times New Roman" w:ascii="Times New Roman" w:hAnsi="Times New Roman"/>
          <w:sz w:val="24"/>
          <w:szCs w:val="24"/>
        </w:rPr>
        <w:t xml:space="preserve"> é composto pela parcela resultante do índice obtido pela cesta de índices – </w:t>
      </w:r>
      <w:r>
        <w:rPr/>
      </w:r>
      <m:oMath xmlns:m="http://schemas.openxmlformats.org/officeDocument/2006/math">
        <m:r>
          <w:rPr>
            <w:rFonts w:ascii="Cambria Math" w:hAnsi="Cambria Math"/>
          </w:rPr>
          <m:t xml:space="preserve">RINDEX</m:t>
        </m:r>
      </m:oMath>
      <w:r>
        <w:rPr>
          <w:rFonts w:cs="Times New Roman" w:ascii="Times New Roman" w:hAnsi="Times New Roman"/>
        </w:rPr>
        <w:t xml:space="preserve"> e outras </w:t>
      </w:r>
      <w:r>
        <w:rPr>
          <w:rFonts w:cs="Times New Roman" w:ascii="Times New Roman" w:hAnsi="Times New Roman"/>
          <w:sz w:val="24"/>
          <w:szCs w:val="24"/>
        </w:rPr>
        <w:t xml:space="preserve">adequações para a manutenção da cobrança eficiente, com qualidade e outros ajustes menores que não justifiquem uma revisão extraordinária, sendo: 1º) adequação do índice de reajuste tarifário ao efeito da aplicação das às regras de eficiência (parcela  </w:t>
      </w:r>
      <w:r>
        <w:rPr/>
      </w:r>
      <m:oMath xmlns:m="http://schemas.openxmlformats.org/officeDocument/2006/math">
        <m:r>
          <w:rPr>
            <w:rFonts w:ascii="Cambria Math" w:hAnsi="Cambria Math"/>
          </w:rPr>
          <m:t xml:space="preserve">Fx</m:t>
        </m:r>
      </m:oMath>
      <w:r>
        <w:rPr>
          <w:rFonts w:cs="Times New Roman" w:ascii="Times New Roman" w:hAnsi="Times New Roman"/>
        </w:rPr>
        <w:t>)</w:t>
      </w:r>
      <w:r>
        <w:rPr>
          <w:rFonts w:cs="Times New Roman" w:ascii="Times New Roman" w:hAnsi="Times New Roman"/>
          <w:sz w:val="24"/>
          <w:szCs w:val="24"/>
        </w:rPr>
        <w:t xml:space="preserve">; 2º) ajuste no índice de reajustes tarifário ao acompanhamento das regras de qualidade (parcela </w:t>
      </w:r>
      <w:r>
        <w:rPr/>
      </w:r>
      <m:oMath xmlns:m="http://schemas.openxmlformats.org/officeDocument/2006/math">
        <m:r>
          <w:rPr>
            <w:rFonts w:ascii="Cambria Math" w:hAnsi="Cambria Math"/>
          </w:rPr>
          <m:t xml:space="preserve">Fk</m:t>
        </m:r>
      </m:oMath>
      <w:r>
        <w:rPr>
          <w:rFonts w:cs="Times New Roman" w:ascii="Times New Roman" w:hAnsi="Times New Roman"/>
        </w:rPr>
        <w:t>)</w:t>
      </w:r>
      <w:r>
        <w:rPr>
          <w:rFonts w:cs="Times New Roman" w:ascii="Times New Roman" w:hAnsi="Times New Roman"/>
          <w:sz w:val="24"/>
          <w:szCs w:val="24"/>
        </w:rPr>
        <w:t xml:space="preserve">; e 3º) demais ajustes justificados por outras compensações (concessionária e consumidor), prazos, provenientes da matriz de risco regulatório, e/ou outras aprovadas pela agência reguladora, etc. (parcela </w:t>
      </w:r>
      <w:r>
        <w:rPr/>
      </w:r>
      <m:oMath xmlns:m="http://schemas.openxmlformats.org/officeDocument/2006/math">
        <m:r>
          <w:rPr>
            <w:rFonts w:ascii="Cambria Math" w:hAnsi="Cambria Math"/>
          </w:rPr>
          <m:t xml:space="preserve">AJ</m:t>
        </m:r>
      </m:oMath>
      <w:r>
        <w:rPr>
          <w:rFonts w:cs="Times New Roman" w:ascii="Times New Roman" w:hAnsi="Times New Roman"/>
          <w:sz w:val="20"/>
          <w:szCs w:val="20"/>
        </w:rPr>
        <w:t>)</w:t>
      </w:r>
      <w:r>
        <w:rPr>
          <w:rFonts w:cs="Times New Roman" w:ascii="Times New Roman" w:hAnsi="Times New Roman"/>
          <w:sz w:val="18"/>
          <w:szCs w:val="18"/>
        </w:rPr>
        <w:t>.</w:t>
      </w:r>
    </w:p>
    <w:p>
      <w:pPr>
        <w:pStyle w:val="Normal"/>
        <w:spacing w:lineRule="auto" w:line="360" w:before="0" w:after="0"/>
        <w:ind w:firstLine="708"/>
        <w:jc w:val="both"/>
        <w:rPr/>
      </w:pPr>
      <w:r>
        <w:rPr>
          <w:rFonts w:cs="Times New Roman" w:ascii="Times New Roman" w:hAnsi="Times New Roman"/>
          <w:sz w:val="24"/>
          <w:szCs w:val="24"/>
        </w:rPr>
        <w:t xml:space="preserve">Com relação aos fatores </w:t>
      </w:r>
      <w:r>
        <w:rPr/>
      </w:r>
      <m:oMath xmlns:m="http://schemas.openxmlformats.org/officeDocument/2006/math">
        <m:r>
          <w:rPr>
            <w:rFonts w:ascii="Cambria Math" w:hAnsi="Cambria Math"/>
          </w:rPr>
          <m:t xml:space="preserve">Fx</m:t>
        </m:r>
      </m:oMath>
      <w:r>
        <w:rPr>
          <w:rFonts w:cs="Times New Roman" w:ascii="Times New Roman" w:hAnsi="Times New Roman"/>
          <w:sz w:val="24"/>
          <w:szCs w:val="24"/>
        </w:rPr>
        <w:t xml:space="preserve"> e </w:t>
      </w:r>
      <w:r>
        <w:rPr/>
      </w:r>
      <m:oMath xmlns:m="http://schemas.openxmlformats.org/officeDocument/2006/math">
        <m:r>
          <w:rPr>
            <w:rFonts w:ascii="Cambria Math" w:hAnsi="Cambria Math"/>
          </w:rPr>
          <m:t xml:space="preserve">Fk</m:t>
        </m:r>
      </m:oMath>
      <w:r>
        <w:rPr>
          <w:rFonts w:cs="Times New Roman" w:ascii="Times New Roman" w:hAnsi="Times New Roman"/>
          <w:sz w:val="24"/>
          <w:szCs w:val="24"/>
        </w:rPr>
        <w:t>, são ajustes necessários para que a agência desenvolva suas atribuições previstas na Lei 11.445/2007 de forma contínua e não cíclicas, a cada quatro anos. A regulação do setor elétrico realizada pela ANEEL utiliza este recurso no reajuste das concessionárias sob sua jurisdição, já no setor de saneamento básico, a ARSAE utiliza na regulação da COPASA e a ADASA na regulação da CAESB, entre outras, que também utilizam estes recursos para ajustes regulatórios, sempre direcionado aos incentivos na busca de eficiência, produtividade e qualidade. Cabe destacar que tais fatores não correspondem ao índice de reajuste em si, mas compensações para a captação do regime de eficiência na sistemática de reajuste da tarifa justa, para a manutenção do equilíbrio econômico-financeiro, em conformidade com o estabelecido na alínea “b”, inciso “IV”,</w:t>
      </w:r>
      <w:r>
        <w:rPr/>
        <w:t xml:space="preserve"> “</w:t>
      </w:r>
      <w:r>
        <w:rPr>
          <w:rFonts w:cs="Times New Roman" w:ascii="Times New Roman" w:hAnsi="Times New Roman"/>
          <w:sz w:val="24"/>
          <w:szCs w:val="24"/>
        </w:rPr>
        <w:t>§ 2º” do Art. 11 da Lei 11.445/2007.</w:t>
      </w:r>
    </w:p>
    <w:p>
      <w:pPr>
        <w:pStyle w:val="Normal"/>
        <w:spacing w:lineRule="auto" w:line="360" w:before="0" w:after="0"/>
        <w:ind w:firstLine="709"/>
        <w:jc w:val="both"/>
        <w:rPr/>
      </w:pPr>
      <w:r>
        <w:rPr>
          <w:rFonts w:cs="Times New Roman" w:ascii="Times New Roman" w:hAnsi="Times New Roman"/>
          <w:sz w:val="24"/>
          <w:szCs w:val="24"/>
        </w:rPr>
        <w:t xml:space="preserve">A Resolução 001/2021 – ARSBAN determinou que a agência apresentasse notas técnicas com metodologias de indução de eficiência e qualidade em até três anos. Até a presente data não há metodologias para os cálculos </w:t>
      </w:r>
      <w:r>
        <w:rPr/>
      </w:r>
      <m:oMath xmlns:m="http://schemas.openxmlformats.org/officeDocument/2006/math">
        <m:r>
          <w:rPr>
            <w:rFonts w:ascii="Cambria Math" w:hAnsi="Cambria Math"/>
          </w:rPr>
          <m:t xml:space="preserve">Fx</m:t>
        </m:r>
      </m:oMath>
      <w:r>
        <w:rPr>
          <w:rFonts w:cs="Times New Roman" w:ascii="Times New Roman" w:hAnsi="Times New Roman"/>
          <w:sz w:val="24"/>
          <w:szCs w:val="24"/>
        </w:rPr>
        <w:t xml:space="preserve">e </w:t>
      </w:r>
      <w:r>
        <w:rPr/>
      </w:r>
      <m:oMath xmlns:m="http://schemas.openxmlformats.org/officeDocument/2006/math">
        <m:r>
          <w:rPr>
            <w:rFonts w:ascii="Cambria Math" w:hAnsi="Cambria Math"/>
          </w:rPr>
          <m:t xml:space="preserve">Fk</m:t>
        </m:r>
      </m:oMath>
      <w:r>
        <w:rPr>
          <w:rFonts w:cs="Times New Roman" w:ascii="Times New Roman" w:hAnsi="Times New Roman"/>
          <w:sz w:val="24"/>
          <w:szCs w:val="24"/>
        </w:rPr>
        <w:t>, logo, os seus valores deverão ser “zero”, até que as referidas metodologias sejam definidas pela agência.</w:t>
      </w:r>
    </w:p>
    <w:p>
      <w:pPr>
        <w:pStyle w:val="Normal"/>
        <w:spacing w:lineRule="auto" w:line="360" w:before="0" w:after="0"/>
        <w:ind w:firstLine="709"/>
        <w:jc w:val="both"/>
        <w:rPr/>
      </w:pPr>
      <w:r>
        <w:rPr>
          <w:rFonts w:cs="Times New Roman" w:ascii="Times New Roman" w:hAnsi="Times New Roman"/>
          <w:sz w:val="24"/>
          <w:szCs w:val="24"/>
        </w:rPr>
        <w:t xml:space="preserve">No que se refere à </w:t>
      </w:r>
      <w:r>
        <w:rPr/>
      </w:r>
      <m:oMath xmlns:m="http://schemas.openxmlformats.org/officeDocument/2006/math">
        <m:r>
          <w:rPr>
            <w:rFonts w:ascii="Cambria Math" w:hAnsi="Cambria Math"/>
          </w:rPr>
          <m:t xml:space="preserve">Aj</m:t>
        </m:r>
      </m:oMath>
      <w:r>
        <w:rPr>
          <w:rFonts w:cs="Times New Roman" w:ascii="Times New Roman" w:hAnsi="Times New Roman"/>
          <w:sz w:val="24"/>
          <w:szCs w:val="24"/>
        </w:rPr>
        <w:t>, tais ajustes terão o reconhecimento regulatório caso a caso, em função das suas justificativas técnicas submetidas ao processo regulatório, quer sejam apresentadas pela concessionária ou oriundas da própria ARSBAN. É comum a existência de lacunas temporais no reconhecimento dos processos inflacionários e deflacionários na tarifa, principalme</w:t>
      </w:r>
      <w:bookmarkStart w:id="44" w:name="_GoBack"/>
      <w:r>
        <w:rPr>
          <w:rFonts w:cs="Times New Roman" w:ascii="Times New Roman" w:hAnsi="Times New Roman"/>
          <w:sz w:val="24"/>
          <w:szCs w:val="24"/>
        </w:rPr>
        <w:t>n</w:t>
      </w:r>
      <w:bookmarkEnd w:id="44"/>
      <w:r>
        <w:rPr>
          <w:rFonts w:cs="Times New Roman" w:ascii="Times New Roman" w:hAnsi="Times New Roman"/>
          <w:sz w:val="24"/>
          <w:szCs w:val="24"/>
        </w:rPr>
        <w:t>te causada pelo intervalo entre as disponibilidades dos dados e o julgamento do pleito de reajuste tarifário, sendo este, um exemplo de como tais ajustes poderiam ser aplicados. Outros ajustes que não sejam suficientemente relevantes para justificar uma revisão extraordinária também poderiam ser resolvidos com este tipo de ajuste.</w:t>
      </w:r>
    </w:p>
    <w:p>
      <w:pPr>
        <w:pStyle w:val="Normal"/>
        <w:spacing w:lineRule="auto" w:line="360" w:before="0" w:after="0"/>
        <w:ind w:firstLine="709"/>
        <w:jc w:val="both"/>
        <w:rPr/>
      </w:pPr>
      <w:r>
        <w:rPr>
          <w:rFonts w:cs="Times New Roman" w:ascii="Times New Roman" w:hAnsi="Times New Roman"/>
          <w:sz w:val="24"/>
          <w:szCs w:val="24"/>
        </w:rPr>
        <w:t>Por fim, caso não haja a possibilidade de cálculo de qualquer indexador ou não seja possível certificar o reconhecimento regulatório por qualquer motivo eventual, o IPCA deverá ser utilizado para fins de substituição no composto de índice. A indexação por IPCA também deverá ser executada, em casos que seja necessária a projeção de qualquer outro indicador para data futura a sua última publicação.</w:t>
      </w:r>
    </w:p>
    <w:p>
      <w:pPr>
        <w:pStyle w:val="Normal"/>
        <w:widowControl/>
        <w:suppressAutoHyphens w:val="true"/>
        <w:bidi w:val="0"/>
        <w:spacing w:lineRule="auto" w:line="360" w:before="0" w:after="510"/>
        <w:ind w:left="0" w:right="0" w:hanging="0"/>
        <w:jc w:val="center"/>
        <w:rPr/>
      </w:pPr>
      <w:r>
        <w:rPr>
          <w:rFonts w:cs="Times New Roman" w:ascii="TimesNewRomanPSMT" w:hAnsi="TimesNewRomanPSMT"/>
          <w:sz w:val="24"/>
          <w:szCs w:val="24"/>
        </w:rPr>
        <w:t xml:space="preserve"> </w:t>
      </w:r>
      <w:r>
        <w:rPr>
          <w:rFonts w:ascii="TimesNewRomanPSMT" w:hAnsi="TimesNewRomanPSMT"/>
          <w:b w:val="false"/>
          <w:i w:val="false"/>
          <w:color w:val="000000"/>
          <w:sz w:val="24"/>
        </w:rPr>
        <w:t xml:space="preserve">Natal, </w:t>
      </w:r>
      <w:r>
        <w:rPr>
          <w:rFonts w:ascii="TimesNewRomanPSMT" w:hAnsi="TimesNewRomanPSMT"/>
          <w:b w:val="false"/>
          <w:i w:val="false"/>
          <w:color w:val="000000"/>
          <w:sz w:val="24"/>
          <w:szCs w:val="22"/>
          <w:lang w:eastAsia="en-US"/>
        </w:rPr>
        <w:t>02</w:t>
      </w:r>
      <w:r>
        <w:rPr>
          <w:rFonts w:ascii="TimesNewRomanPSMT" w:hAnsi="TimesNewRomanPSMT"/>
          <w:b w:val="false"/>
          <w:i w:val="false"/>
          <w:color w:val="000000"/>
          <w:sz w:val="24"/>
        </w:rPr>
        <w:t xml:space="preserve"> de </w:t>
      </w:r>
      <w:r>
        <w:rPr>
          <w:rFonts w:ascii="TimesNewRomanPSMT" w:hAnsi="TimesNewRomanPSMT"/>
          <w:b w:val="false"/>
          <w:i w:val="false"/>
          <w:color w:val="000000"/>
          <w:sz w:val="24"/>
          <w:szCs w:val="22"/>
          <w:lang w:eastAsia="en-US"/>
        </w:rPr>
        <w:t>dezembro</w:t>
      </w:r>
      <w:r>
        <w:rPr>
          <w:rFonts w:ascii="TimesNewRomanPSMT" w:hAnsi="TimesNewRomanPSMT"/>
          <w:b w:val="false"/>
          <w:i w:val="false"/>
          <w:color w:val="000000"/>
          <w:sz w:val="24"/>
        </w:rPr>
        <w:t xml:space="preserve"> de 2022</w:t>
      </w:r>
    </w:p>
    <w:p>
      <w:pPr>
        <w:pStyle w:val="Normal"/>
        <w:widowControl/>
        <w:suppressAutoHyphens w:val="true"/>
        <w:bidi w:val="0"/>
        <w:spacing w:lineRule="auto" w:line="240" w:before="0" w:after="0"/>
        <w:ind w:left="0" w:right="0" w:hanging="0"/>
        <w:jc w:val="center"/>
        <w:rPr>
          <w:rFonts w:ascii="TimesNewRomanPSMT" w:hAnsi="TimesNewRomanPSMT"/>
          <w:b w:val="false"/>
          <w:b w:val="false"/>
          <w:i w:val="false"/>
          <w:i w:val="false"/>
          <w:color w:val="000000"/>
          <w:sz w:val="24"/>
          <w:szCs w:val="22"/>
          <w:lang w:eastAsia="en-US"/>
        </w:rPr>
      </w:pPr>
      <w:r>
        <w:rPr>
          <w:rFonts w:ascii="TimesNewRomanPSMT" w:hAnsi="TimesNewRomanPSMT"/>
          <w:b w:val="false"/>
          <w:i w:val="false"/>
          <w:color w:val="000000"/>
          <w:sz w:val="24"/>
          <w:szCs w:val="22"/>
          <w:lang w:eastAsia="en-US"/>
        </w:rPr>
        <w:t>VICTOR MATHEUS DIÓGENES RAMOS DE OLIVEIRA FREITAS</w:t>
      </w:r>
    </w:p>
    <w:p>
      <w:pPr>
        <w:pStyle w:val="Normal"/>
        <w:spacing w:lineRule="auto" w:line="240" w:before="0" w:after="510"/>
        <w:jc w:val="center"/>
        <w:rPr/>
      </w:pPr>
      <w:r>
        <w:rPr>
          <w:rFonts w:ascii="TimesNewRomanPSMT" w:hAnsi="TimesNewRomanPSMT"/>
          <w:b w:val="false"/>
          <w:i w:val="false"/>
          <w:color w:val="000000"/>
          <w:sz w:val="24"/>
        </w:rPr>
        <w:t>Diretor do Departamento Técnico</w:t>
      </w:r>
    </w:p>
    <w:p>
      <w:pPr>
        <w:pStyle w:val="Normal"/>
        <w:spacing w:before="0" w:after="0"/>
        <w:jc w:val="center"/>
        <w:rPr/>
      </w:pPr>
      <w:r>
        <w:rPr>
          <w:rFonts w:ascii="TimesNewRomanPSMT" w:hAnsi="TimesNewRomanPSMT"/>
          <w:b w:val="false"/>
          <w:i w:val="false"/>
          <w:color w:val="000000"/>
          <w:sz w:val="24"/>
        </w:rPr>
        <w:t>MARIANA MAGNA SANTOS DA NÓBREGA</w:t>
      </w:r>
    </w:p>
    <w:p>
      <w:pPr>
        <w:pStyle w:val="Normal"/>
        <w:spacing w:before="0" w:after="510"/>
        <w:jc w:val="center"/>
        <w:rPr/>
      </w:pPr>
      <w:r>
        <w:rPr>
          <w:rFonts w:ascii="TimesNewRomanPSMT" w:hAnsi="TimesNewRomanPSMT"/>
          <w:b w:val="false"/>
          <w:i w:val="false"/>
          <w:color w:val="000000"/>
          <w:sz w:val="24"/>
        </w:rPr>
        <w:t>Analista de Regulação</w:t>
      </w:r>
    </w:p>
    <w:p>
      <w:pPr>
        <w:pStyle w:val="Normal"/>
        <w:spacing w:before="0" w:after="0"/>
        <w:jc w:val="center"/>
        <w:rPr/>
      </w:pPr>
      <w:r>
        <w:rPr>
          <w:rFonts w:ascii="TimesNewRomanPSMT" w:hAnsi="TimesNewRomanPSMT"/>
          <w:b w:val="false"/>
          <w:i w:val="false"/>
          <w:color w:val="000000"/>
          <w:sz w:val="24"/>
        </w:rPr>
        <w:t>PEDRO CELESTINO DANTAS JÚNIOR</w:t>
      </w:r>
    </w:p>
    <w:p>
      <w:pPr>
        <w:pStyle w:val="Normal"/>
        <w:spacing w:before="0" w:after="510"/>
        <w:jc w:val="center"/>
        <w:rPr/>
      </w:pPr>
      <w:r>
        <w:rPr>
          <w:rFonts w:ascii="TimesNewRomanPSMT" w:hAnsi="TimesNewRomanPSMT"/>
          <w:b w:val="false"/>
          <w:i w:val="false"/>
          <w:color w:val="000000"/>
          <w:sz w:val="24"/>
        </w:rPr>
        <w:t>Analista de Regulação</w:t>
      </w:r>
    </w:p>
    <w:p>
      <w:pPr>
        <w:pStyle w:val="Normal"/>
        <w:spacing w:before="0" w:after="0"/>
        <w:jc w:val="center"/>
        <w:rPr/>
      </w:pPr>
      <w:r>
        <w:rPr>
          <w:rFonts w:ascii="TimesNewRomanPSMT" w:hAnsi="TimesNewRomanPSMT"/>
          <w:b w:val="false"/>
          <w:i w:val="false"/>
          <w:color w:val="000000"/>
          <w:sz w:val="24"/>
        </w:rPr>
        <w:t>WALTER FERNANDES DE MIRANDA NETO</w:t>
      </w:r>
    </w:p>
    <w:p>
      <w:pPr>
        <w:pStyle w:val="Normal"/>
        <w:spacing w:before="0" w:after="510"/>
        <w:jc w:val="center"/>
        <w:rPr/>
      </w:pPr>
      <w:r>
        <w:rPr>
          <w:rFonts w:ascii="TimesNewRomanPSMT" w:hAnsi="TimesNewRomanPSMT"/>
          <w:b w:val="false"/>
          <w:i w:val="false"/>
          <w:color w:val="000000"/>
          <w:sz w:val="24"/>
        </w:rPr>
        <w:t>Analista de Regulação</w:t>
      </w:r>
    </w:p>
    <w:p>
      <w:pPr>
        <w:pStyle w:val="Normal"/>
        <w:jc w:val="left"/>
        <w:rPr/>
      </w:pPr>
      <w:r>
        <w:rPr>
          <w:rFonts w:ascii="TimesNewRomanPSMT" w:hAnsi="TimesNewRomanPSMT"/>
          <w:b w:val="false"/>
          <w:i w:val="false"/>
          <w:color w:val="000000"/>
          <w:sz w:val="24"/>
        </w:rPr>
        <w:t>De acordo,</w:t>
      </w:r>
    </w:p>
    <w:p>
      <w:pPr>
        <w:pStyle w:val="Normal"/>
        <w:spacing w:before="0" w:after="0"/>
        <w:jc w:val="center"/>
        <w:rPr/>
      </w:pPr>
      <w:r>
        <w:rPr>
          <w:rFonts w:ascii="TimesNewRomanPSMT" w:hAnsi="TimesNewRomanPSMT"/>
          <w:b w:val="false"/>
          <w:i w:val="false"/>
          <w:color w:val="000000"/>
          <w:sz w:val="24"/>
        </w:rPr>
        <w:t>ROSSINI FERNANDES DE OLIVEIRA</w:t>
      </w:r>
    </w:p>
    <w:p>
      <w:pPr>
        <w:pStyle w:val="Normal"/>
        <w:spacing w:before="0" w:after="200"/>
        <w:jc w:val="center"/>
        <w:rPr/>
      </w:pPr>
      <w:r>
        <w:rPr>
          <w:rFonts w:ascii="TimesNewRomanPSMT" w:hAnsi="TimesNewRomanPSMT"/>
          <w:b w:val="false"/>
          <w:i w:val="false"/>
          <w:color w:val="000000"/>
          <w:sz w:val="24"/>
        </w:rPr>
        <w:t>Diretor-Presidente</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Cambria Math">
    <w:charset w:val="00"/>
    <w:family w:val="roman"/>
    <w:pitch w:val="variable"/>
  </w:font>
  <w:font w:name="TimesNewRomanPSMT">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Textodenotaderodap1"/>
        <w:jc w:val="both"/>
        <w:rPr/>
      </w:pPr>
      <w:r>
        <w:rPr>
          <w:rStyle w:val="Caracteresdenotaderodap"/>
        </w:rPr>
        <w:footnoteRef/>
      </w:r>
      <w:r>
        <w:rPr/>
        <w:t xml:space="preserve">Conceito observado em </w:t>
      </w:r>
      <w:r>
        <w:rPr>
          <w:i/>
        </w:rPr>
        <w:t>International Handbook on Economic Regulation</w:t>
      </w:r>
      <w:r>
        <w:rPr/>
        <w:t xml:space="preserve"> editado por </w:t>
      </w:r>
      <w:bookmarkStart w:id="45" w:name="_Hlk506628898"/>
      <w:r>
        <w:rPr/>
        <w:t>Michael A. Crew e David Parker (2006</w:t>
      </w:r>
      <w:bookmarkEnd w:id="45"/>
      <w:r>
        <w:rPr/>
        <w:t>).</w:t>
      </w:r>
    </w:p>
  </w:footnote>
  <w:footnote w:id="3">
    <w:p>
      <w:pPr>
        <w:pStyle w:val="Textodenotaderodap1"/>
        <w:jc w:val="both"/>
        <w:rPr/>
      </w:pPr>
      <w:r>
        <w:rPr>
          <w:rStyle w:val="Caracteresdenotaderodap"/>
        </w:rPr>
        <w:footnoteRef/>
      </w:r>
      <w:r>
        <w:rPr/>
        <w:t>Exemplo: ficou estabelecida a data-base inicial de 01/05/2021 para a contagem inflacionária e deflacionaria do primeiro reajuste tarifário dentro do 4º ciclo tarifário.</w:t>
      </w:r>
    </w:p>
  </w:footnote>
  <w:footnote w:id="4">
    <w:p>
      <w:pPr>
        <w:pStyle w:val="Notaderodap"/>
        <w:rPr/>
      </w:pPr>
      <w:r>
        <w:rPr>
          <w:rStyle w:val="Caracteresdenotaderodap"/>
        </w:rPr>
        <w:footnoteRef/>
      </w:r>
      <w:r>
        <w:rPr/>
        <w:t xml:space="preserve"> </w:t>
      </w:r>
      <w:r>
        <w:rPr/>
        <w:t>O INPC é utilizado como indexador dos gastos com pessoal em, ao menos, 12 agências reguladoras das 21 analisadas.</w:t>
      </w:r>
    </w:p>
  </w:footnote>
  <w:footnote w:id="5">
    <w:p>
      <w:pPr>
        <w:pStyle w:val="Textodenotaderodap1"/>
        <w:jc w:val="both"/>
        <w:rPr/>
      </w:pPr>
      <w:r>
        <w:rPr>
          <w:rStyle w:val="Caracteresdenotaderodap"/>
        </w:rPr>
        <w:footnoteRef/>
      </w:r>
      <w:r>
        <w:rPr/>
        <w:t>A Agência Reguladora de Serviços de Abastecimento de Água e de Esgotamento Sanitário do Estado de Minas Gerais - ARSAE-MG adota os pesos de 0,60 e 0,40 para gasolina e diesel, respectivamente, representando as proporções dos consumos da Companhia de Saneamento de Minas Gerais - COPASA. Para o Serviço Autônomo de Água e Esgoto de São Gonçalo do Amarante – SAAE-SGA, os pesos utilizados são 0,76 e 0,24 para gasolina e diesel, respectivamente, reflexo das proporções do gasto com cada tipo de combustível.</w:t>
      </w:r>
    </w:p>
  </w:footnote>
  <w:footnote w:id="6">
    <w:p>
      <w:pPr>
        <w:pStyle w:val="Notaderodap"/>
        <w:rPr/>
      </w:pPr>
      <w:r>
        <w:rPr>
          <w:rStyle w:val="Caracteresdenotaderodap"/>
        </w:rPr>
        <w:footnoteRef/>
      </w:r>
      <w:hyperlink r:id="rId1">
        <w:r>
          <w:rPr>
            <w:rStyle w:val="LinkdaInternet"/>
          </w:rPr>
          <w:t>https://sei.rn.gov.br/sei/controlador_externo.php?acao=documento_conferir&amp;id_orgao_acesso_externo=0</w:t>
        </w:r>
      </w:hyperlink>
      <w:r>
        <w:rPr/>
        <w:t xml:space="preserve"> ,código verificador 16211503 e o código CRC 599BE466.</w:t>
      </w:r>
    </w:p>
  </w:footnote>
  <w:footnote w:id="7">
    <w:p>
      <w:pPr>
        <w:pStyle w:val="Notaderodap"/>
        <w:rPr/>
      </w:pPr>
      <w:r>
        <w:rPr>
          <w:rStyle w:val="Caracteresdenotaderodap"/>
        </w:rPr>
        <w:footnoteRef/>
      </w:r>
      <w:r>
        <w:rPr/>
        <w:t xml:space="preserve"> </w:t>
      </w:r>
      <w:r>
        <w:rPr/>
        <w:t xml:space="preserve">Para o cálculo dos preços em </w:t>
      </w:r>
      <w:r>
        <w:rPr>
          <w:i/>
        </w:rPr>
        <w:t>P</w:t>
      </w:r>
      <w:r>
        <w:rPr>
          <w:i/>
          <w:vertAlign w:val="subscript"/>
        </w:rPr>
        <w:t>0</w:t>
      </w:r>
      <w:r>
        <w:rPr>
          <w:vertAlign w:val="subscript"/>
        </w:rPr>
        <w:t xml:space="preserve"> </w:t>
      </w:r>
      <w:r>
        <w:rPr/>
        <w:t xml:space="preserve">a metodologia é mesma, considerando </w:t>
      </w:r>
      <w:r>
        <w:rPr>
          <w:i/>
        </w:rPr>
        <w:t>i</w:t>
      </w:r>
      <w:r>
        <w:rPr/>
        <w:t xml:space="preserve"> = 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428" w:hanging="360"/>
      </w:pPr>
      <w:rPr>
        <w:rFonts w:cs="Times New Roman"/>
      </w:rPr>
    </w:lvl>
    <w:lvl w:ilvl="1">
      <w:start w:val="1"/>
      <w:numFmt w:val="lowerLetter"/>
      <w:lvlText w:val="%1.%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3.%4"/>
      <w:lvlJc w:val="left"/>
      <w:pPr>
        <w:tabs>
          <w:tab w:val="num" w:pos="0"/>
        </w:tabs>
        <w:ind w:left="3588" w:hanging="360"/>
      </w:pPr>
    </w:lvl>
    <w:lvl w:ilvl="4">
      <w:start w:val="1"/>
      <w:numFmt w:val="lowerLetter"/>
      <w:lvlText w:val="%4.%5"/>
      <w:lvlJc w:val="left"/>
      <w:pPr>
        <w:tabs>
          <w:tab w:val="num" w:pos="0"/>
        </w:tabs>
        <w:ind w:left="4308" w:hanging="360"/>
      </w:pPr>
    </w:lvl>
    <w:lvl w:ilvl="5">
      <w:start w:val="1"/>
      <w:numFmt w:val="lowerRoman"/>
      <w:lvlText w:val="%5.%6"/>
      <w:lvlJc w:val="right"/>
      <w:pPr>
        <w:tabs>
          <w:tab w:val="num" w:pos="0"/>
        </w:tabs>
        <w:ind w:left="5028" w:hanging="180"/>
      </w:pPr>
    </w:lvl>
    <w:lvl w:ilvl="6">
      <w:start w:val="1"/>
      <w:numFmt w:val="decimal"/>
      <w:lvlText w:val="%6.%7"/>
      <w:lvlJc w:val="left"/>
      <w:pPr>
        <w:tabs>
          <w:tab w:val="num" w:pos="0"/>
        </w:tabs>
        <w:ind w:left="5748" w:hanging="360"/>
      </w:pPr>
    </w:lvl>
    <w:lvl w:ilvl="7">
      <w:start w:val="1"/>
      <w:numFmt w:val="lowerLetter"/>
      <w:lvlText w:val="%7.%8"/>
      <w:lvlJc w:val="left"/>
      <w:pPr>
        <w:tabs>
          <w:tab w:val="num" w:pos="0"/>
        </w:tabs>
        <w:ind w:left="6468" w:hanging="360"/>
      </w:pPr>
    </w:lvl>
    <w:lvl w:ilvl="8">
      <w:start w:val="1"/>
      <w:numFmt w:val="lowerRoman"/>
      <w:lvlText w:val="%8.%9"/>
      <w:lvlJc w:val="right"/>
      <w:pPr>
        <w:tabs>
          <w:tab w:val="num" w:pos="0"/>
        </w:tabs>
        <w:ind w:left="718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semiHidden="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semiHidden="0" w:unhideWhenUsed="0"/>
    <w:lsdException w:name="annotation text" w:uiPriority="0" w:semiHidden="0" w:unhideWhenUsed="0" w:qFormat="1"/>
    <w:lsdException w:name="header" w:semiHidden="0"/>
    <w:lsdException w:name="footer" w:semiHidden="0"/>
    <w:lsdException w:name="caption" w:uiPriority="0" w:semiHidden="0" w:unhideWhenUsed="0" w:qFormat="1"/>
    <w:lsdException w:name="table of figures" w:uiPriority="0" w:semiHidden="0" w:unhideWhenUsed="0" w:qFormat="1"/>
    <w:lsdException w:name="footnote reference" w:uiPriority="0" w:unhideWhenUsed="0" w:qFormat="1"/>
    <w:lsdException w:name="annotation reference" w:uiPriority="0" w:semiHidden="0" w:unhideWhenUsed="0" w:qFormat="1"/>
    <w:lsdException w:name="List" w:uiPriority="0" w:semiHidden="0" w:unhideWhenUsed="0"/>
    <w:lsdException w:name="Title" w:uiPriority="0" w:semiHidden="0" w:unhideWhenUsed="0" w:qFormat="1"/>
    <w:lsdException w:name="Default Paragraph Font" w:uiPriority="1"/>
    <w:lsdException w:name="Body Text" w:uiPriority="0" w:semiHidden="0" w:unhideWhenUsed="0"/>
    <w:lsdException w:name="Subtitle" w:uiPriority="11" w:semiHidden="0" w:unhideWhenUsed="0" w:qFormat="1"/>
    <w:lsdException w:name="Body Text 2" w:uiPriority="0" w:semiHidden="0" w:unhideWhenUsed="0" w:qFormat="1"/>
    <w:lsdException w:name="Body Text Indent 2" w:uiPriority="0" w:semiHidden="0" w:unhideWhenUsed="0" w:qFormat="1"/>
    <w:lsdException w:name="Hyperlink" w:semiHidden="0"/>
    <w:lsdException w:name="Strong" w:uiPriority="22" w:semiHidden="0" w:unhideWhenUsed="0" w:qFormat="1"/>
    <w:lsdException w:name="Emphasis" w:uiPriority="20" w:semiHidden="0" w:unhideWhenUsed="0" w:qFormat="1"/>
    <w:lsdException w:name="Normal (Web)" w:uiPriority="0" w:semiHidden="0" w:unhideWhenUsed="0" w:qFormat="1"/>
    <w:lsdException w:name="annotation subject" w:uiPriority="0" w:semiHidden="0" w:unhideWhenUsed="0" w:qFormat="1"/>
    <w:lsdException w:name="Balloon Text" w:uiPriority="0" w:semiHidden="0" w:unhideWhenUsed="0" w:qFormat="1"/>
    <w:lsdException w:name="Table Grid" w:uiPriority="59" w:semiHidden="0" w:unhideWhenUsed="0"/>
    <w:lsdException w:name="Placeholder Text" w:uiPriority="0" w:semiHidden="0" w:unhideWhenUsed="0" w:qFormat="1"/>
    <w:lsdException w:name="No Spacing" w:uiPriority="1"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0"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qFormat/>
    <w:rPr>
      <w:sz w:val="16"/>
      <w:szCs w:val="16"/>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qFormat/>
    <w:rPr>
      <w:vertAlign w:val="superscript"/>
    </w:rPr>
  </w:style>
  <w:style w:type="character" w:styleId="LinkdaInternet" w:customStyle="1">
    <w:name w:val="Link da Internet"/>
    <w:basedOn w:val="DefaultParagraphFont"/>
    <w:rPr>
      <w:color w:val="0000FF"/>
      <w:u w:val="single"/>
    </w:rPr>
  </w:style>
  <w:style w:type="character" w:styleId="Ttulo1Char" w:customStyle="1">
    <w:name w:val="Título 1 Char"/>
    <w:basedOn w:val="DefaultParagraphFont"/>
    <w:qFormat/>
    <w:rPr>
      <w:rFonts w:ascii="Times New Roman" w:hAnsi="Times New Roman" w:eastAsia="Times New Roman" w:cs="Times New Roman"/>
      <w:b/>
      <w:bCs/>
      <w:sz w:val="24"/>
      <w:szCs w:val="24"/>
      <w:lang w:eastAsia="pt-BR"/>
    </w:rPr>
  </w:style>
  <w:style w:type="character" w:styleId="Ttulo2Char" w:customStyle="1">
    <w:name w:val="Título 2 Char"/>
    <w:basedOn w:val="DefaultParagraphFont"/>
    <w:qFormat/>
    <w:rPr>
      <w:rFonts w:ascii="Times New Roman" w:hAnsi="Times New Roman" w:eastAsia="Times New Roman" w:cs="Times New Roman"/>
      <w:b/>
      <w:bCs/>
      <w:sz w:val="24"/>
      <w:szCs w:val="24"/>
      <w:lang w:eastAsia="pt-BR"/>
    </w:rPr>
  </w:style>
  <w:style w:type="character" w:styleId="Ttulo3Char" w:customStyle="1">
    <w:name w:val="Título 3 Char"/>
    <w:basedOn w:val="DefaultParagraphFont"/>
    <w:qFormat/>
    <w:rPr>
      <w:rFonts w:ascii="Times New Roman" w:hAnsi="Times New Roman" w:eastAsia="Arial Unicode MS" w:cs="Times New Roman"/>
      <w:b/>
      <w:bCs/>
      <w:sz w:val="24"/>
      <w:szCs w:val="20"/>
      <w:lang w:eastAsia="pt-BR"/>
    </w:rPr>
  </w:style>
  <w:style w:type="character" w:styleId="Ttulo4Char" w:customStyle="1">
    <w:name w:val="Título 4 Char"/>
    <w:basedOn w:val="DefaultParagraphFont"/>
    <w:qFormat/>
    <w:rPr>
      <w:rFonts w:ascii="Times New Roman" w:hAnsi="Times New Roman" w:eastAsia="Times New Roman" w:cs="Times New Roman"/>
      <w:b/>
      <w:bCs/>
      <w:sz w:val="28"/>
      <w:szCs w:val="28"/>
      <w:lang w:eastAsia="pt-BR"/>
    </w:rPr>
  </w:style>
  <w:style w:type="character" w:styleId="Ttulo5Char" w:customStyle="1">
    <w:name w:val="Título 5 Char"/>
    <w:basedOn w:val="DefaultParagraphFont"/>
    <w:qFormat/>
    <w:rPr>
      <w:rFonts w:ascii="Times New Roman" w:hAnsi="Times New Roman" w:eastAsia="Times New Roman" w:cs="Times New Roman"/>
      <w:b/>
      <w:bCs/>
      <w:i/>
      <w:iCs/>
      <w:sz w:val="26"/>
      <w:szCs w:val="26"/>
      <w:lang w:eastAsia="pt-BR"/>
    </w:rPr>
  </w:style>
  <w:style w:type="character" w:styleId="Ttulo6Char" w:customStyle="1">
    <w:name w:val="Título 6 Char"/>
    <w:basedOn w:val="DefaultParagraphFont"/>
    <w:qFormat/>
    <w:rPr>
      <w:rFonts w:ascii="Times New Roman" w:hAnsi="Times New Roman" w:eastAsia="Times New Roman" w:cs="Times New Roman"/>
      <w:b/>
      <w:bCs/>
      <w:lang w:eastAsia="pt-BR"/>
    </w:rPr>
  </w:style>
  <w:style w:type="character" w:styleId="Ttulo7Char" w:customStyle="1">
    <w:name w:val="Título 7 Char"/>
    <w:basedOn w:val="DefaultParagraphFont"/>
    <w:qFormat/>
    <w:rPr>
      <w:rFonts w:ascii="Times New Roman" w:hAnsi="Times New Roman" w:eastAsia="Times New Roman" w:cs="Times New Roman"/>
      <w:sz w:val="24"/>
      <w:szCs w:val="24"/>
      <w:lang w:eastAsia="pt-BR"/>
    </w:rPr>
  </w:style>
  <w:style w:type="character" w:styleId="Ttulo8Char" w:customStyle="1">
    <w:name w:val="Título 8 Char"/>
    <w:basedOn w:val="DefaultParagraphFont"/>
    <w:qFormat/>
    <w:rPr>
      <w:rFonts w:ascii="Times New Roman" w:hAnsi="Times New Roman" w:eastAsia="Times New Roman" w:cs="Times New Roman"/>
      <w:i/>
      <w:iCs/>
      <w:sz w:val="24"/>
      <w:szCs w:val="24"/>
      <w:lang w:eastAsia="pt-BR"/>
    </w:rPr>
  </w:style>
  <w:style w:type="character" w:styleId="Ttulo9Char" w:customStyle="1">
    <w:name w:val="Título 9 Char"/>
    <w:basedOn w:val="DefaultParagraphFont"/>
    <w:qFormat/>
    <w:rPr>
      <w:rFonts w:ascii="Arial" w:hAnsi="Arial" w:eastAsia="Times New Roman" w:cs="Arial"/>
      <w:lang w:eastAsia="pt-BR"/>
    </w:rPr>
  </w:style>
  <w:style w:type="character" w:styleId="CorpodetextoChar" w:customStyle="1">
    <w:name w:val="Corpo de texto Char"/>
    <w:basedOn w:val="DefaultParagraphFont"/>
    <w:qFormat/>
    <w:rPr>
      <w:rFonts w:ascii="Times New Roman" w:hAnsi="Times New Roman" w:eastAsia="Times New Roman" w:cs="Times New Roman"/>
      <w:sz w:val="24"/>
      <w:szCs w:val="24"/>
      <w:lang w:eastAsia="pt-BR"/>
    </w:rPr>
  </w:style>
  <w:style w:type="character" w:styleId="Recuodecorpodetexto2Char" w:customStyle="1">
    <w:name w:val="Recuo de corpo de texto 2 Char"/>
    <w:basedOn w:val="DefaultParagraphFont"/>
    <w:qFormat/>
    <w:rPr>
      <w:rFonts w:ascii="Times New Roman" w:hAnsi="Times New Roman" w:eastAsia="Times New Roman" w:cs="Times New Roman"/>
      <w:sz w:val="24"/>
      <w:szCs w:val="24"/>
      <w:lang w:eastAsia="pt-BR"/>
    </w:rPr>
  </w:style>
  <w:style w:type="character" w:styleId="TextodenotaderodapChar" w:customStyle="1">
    <w:name w:val="Texto de nota de rodapé Char"/>
    <w:basedOn w:val="DefaultParagraphFont"/>
    <w:link w:val="Textodenotaderodap"/>
    <w:qFormat/>
    <w:rPr>
      <w:rFonts w:ascii="Times New Roman" w:hAnsi="Times New Roman" w:eastAsia="Times New Roman" w:cs="Times New Roman"/>
      <w:sz w:val="20"/>
      <w:szCs w:val="20"/>
      <w:lang w:eastAsia="pt-BR"/>
    </w:rPr>
  </w:style>
  <w:style w:type="character" w:styleId="TextodecomentrioChar" w:customStyle="1">
    <w:name w:val="Texto de comentário Char"/>
    <w:basedOn w:val="DefaultParagraphFont"/>
    <w:qFormat/>
    <w:rPr>
      <w:rFonts w:ascii="Times New Roman" w:hAnsi="Times New Roman" w:eastAsia="MS Mincho" w:cs="Times New Roman"/>
      <w:sz w:val="20"/>
      <w:szCs w:val="20"/>
      <w:lang w:eastAsia="pt-BR"/>
    </w:rPr>
  </w:style>
  <w:style w:type="character" w:styleId="TextodebaloChar" w:customStyle="1">
    <w:name w:val="Texto de balão Char"/>
    <w:basedOn w:val="DefaultParagraphFont"/>
    <w:qFormat/>
    <w:rPr>
      <w:rFonts w:ascii="Tahoma" w:hAnsi="Tahoma" w:cs="Tahoma"/>
      <w:sz w:val="16"/>
      <w:szCs w:val="16"/>
    </w:rPr>
  </w:style>
  <w:style w:type="character" w:styleId="Corpodetexto2Char" w:customStyle="1">
    <w:name w:val="Corpo de texto 2 Char"/>
    <w:basedOn w:val="DefaultParagraphFont"/>
    <w:qFormat/>
    <w:rPr/>
  </w:style>
  <w:style w:type="character" w:styleId="PargrafodaListaChar" w:customStyle="1">
    <w:name w:val="Parágrafo da Lista Char"/>
    <w:qFormat/>
    <w:rPr>
      <w:rFonts w:ascii="Arial" w:hAnsi="Arial" w:eastAsia="Calibri"/>
      <w:sz w:val="24"/>
    </w:rPr>
  </w:style>
  <w:style w:type="character" w:styleId="PlaceholderText">
    <w:name w:val="Placeholder Text"/>
    <w:basedOn w:val="DefaultParagraphFont"/>
    <w:qFormat/>
    <w:rPr>
      <w:color w:val="808080"/>
    </w:rPr>
  </w:style>
  <w:style w:type="character" w:styleId="Linkdainternetvisitado" w:customStyle="1">
    <w:name w:val="Link da internet visitado"/>
    <w:basedOn w:val="DefaultParagraphFont"/>
    <w:rPr>
      <w:color w:val="800080"/>
      <w:u w:val="single"/>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AaaaaaaRapidoChar" w:customStyle="1">
    <w:name w:val="AaaaaaaRapido Char"/>
    <w:basedOn w:val="DefaultParagraphFont"/>
    <w:qFormat/>
    <w:rPr>
      <w:rFonts w:ascii="Times New Roman" w:hAnsi="Times New Roman" w:eastAsia="Calibri" w:cs="Times New Roman"/>
      <w:color w:val="00000A"/>
      <w:sz w:val="24"/>
      <w:szCs w:val="24"/>
    </w:rPr>
  </w:style>
  <w:style w:type="character" w:styleId="AssuntodocomentrioChar" w:customStyle="1">
    <w:name w:val="Assunto do comentário Char"/>
    <w:basedOn w:val="TextodecomentrioChar"/>
    <w:qFormat/>
    <w:rPr>
      <w:rFonts w:ascii="Times New Roman" w:hAnsi="Times New Roman" w:eastAsia="MS Mincho" w:cs="Times New Roman"/>
      <w:b/>
      <w:bCs/>
      <w:sz w:val="20"/>
      <w:szCs w:val="20"/>
      <w:lang w:eastAsia="pt-BR"/>
    </w:rPr>
  </w:style>
  <w:style w:type="character" w:styleId="Vnculodendice" w:customStyle="1">
    <w:name w:val="Vínculo de índice"/>
    <w:qFormat/>
    <w:rPr/>
  </w:style>
  <w:style w:type="character" w:styleId="Caracteresdenotaderodap" w:customStyle="1">
    <w:name w:val="Caracteres de nota de rodapé"/>
    <w:qForma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TextodenotaderodapChar1" w:customStyle="1">
    <w:name w:val="Texto de nota de rodapé Char1"/>
    <w:basedOn w:val="DefaultParagraphFont"/>
    <w:uiPriority w:val="99"/>
    <w:semiHidden/>
    <w:qFormat/>
    <w:rPr>
      <w:sz w:val="20"/>
      <w:szCs w:val="20"/>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CabealhoChar1" w:customStyle="1">
    <w:name w:val="Cabeçalho Char1"/>
    <w:basedOn w:val="DefaultParagraphFont"/>
    <w:link w:val="Cabealho"/>
    <w:uiPriority w:val="99"/>
    <w:qFormat/>
    <w:rPr/>
  </w:style>
  <w:style w:type="character" w:styleId="RodapChar1" w:customStyle="1">
    <w:name w:val="Rodapé Char1"/>
    <w:basedOn w:val="DefaultParagraphFont"/>
    <w:link w:val="Rodap"/>
    <w:uiPriority w:val="99"/>
    <w:qFormat/>
    <w:rPr/>
  </w:style>
  <w:style w:type="character" w:styleId="MenoPendente2" w:customStyle="1">
    <w:name w:val="Menção Pendente2"/>
    <w:basedOn w:val="DefaultParagraphFont"/>
    <w:uiPriority w:val="99"/>
    <w:semiHidden/>
    <w:unhideWhenUsed/>
    <w:qFormat/>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360" w:before="0" w:after="0"/>
      <w:jc w:val="both"/>
    </w:pPr>
    <w:rPr>
      <w:rFonts w:ascii="Times New Roman" w:hAnsi="Times New Roman" w:eastAsia="Times New Roman" w:cs="Times New Roman"/>
      <w:sz w:val="24"/>
      <w:szCs w:val="24"/>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Annotationtext">
    <w:name w:val="annotation text"/>
    <w:basedOn w:val="Normal"/>
    <w:qFormat/>
    <w:pPr>
      <w:spacing w:lineRule="auto" w:line="240" w:before="0" w:after="0"/>
    </w:pPr>
    <w:rPr>
      <w:rFonts w:ascii="Times New Roman" w:hAnsi="Times New Roman" w:eastAsia="MS Mincho" w:cs="Times New Roman"/>
      <w:sz w:val="20"/>
      <w:szCs w:val="20"/>
      <w:lang w:eastAsia="pt-BR"/>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4"/>
      <w:szCs w:val="24"/>
      <w:lang w:eastAsia="pt-BR"/>
    </w:rPr>
  </w:style>
  <w:style w:type="paragraph" w:styleId="Tableoffigures">
    <w:name w:val="table of figures"/>
    <w:basedOn w:val="Normal"/>
    <w:next w:val="Normal"/>
    <w:qFormat/>
    <w:pPr>
      <w:spacing w:before="0" w:after="0"/>
    </w:pPr>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NormalWeb">
    <w:name w:val="Normal (Web)"/>
    <w:basedOn w:val="Normal"/>
    <w:qFormat/>
    <w:pPr>
      <w:spacing w:lineRule="auto" w:line="240" w:before="100" w:after="100"/>
      <w:textAlignment w:val="baseline"/>
    </w:pPr>
    <w:rPr>
      <w:rFonts w:ascii="Times New Roman" w:hAnsi="Times New Roman" w:eastAsia="Times New Roman" w:cs="Times New Roman"/>
      <w:sz w:val="24"/>
      <w:szCs w:val="20"/>
      <w:lang w:eastAsia="pt-BR"/>
    </w:rPr>
  </w:style>
  <w:style w:type="paragraph" w:styleId="BodyText2">
    <w:name w:val="Body Text 2"/>
    <w:basedOn w:val="Normal"/>
    <w:qFormat/>
    <w:pPr>
      <w:spacing w:lineRule="auto" w:line="480" w:before="0" w:after="120"/>
    </w:pPr>
    <w:rPr/>
  </w:style>
  <w:style w:type="paragraph" w:styleId="CabealhoeRodap" w:customStyle="1">
    <w:name w:val="Cabeçalho e Rodapé"/>
    <w:basedOn w:val="Normal"/>
    <w:qFormat/>
    <w:pPr/>
    <w:rPr/>
  </w:style>
  <w:style w:type="paragraph" w:styleId="Cabealho">
    <w:name w:val="Header"/>
    <w:basedOn w:val="Normal"/>
    <w:link w:val="CabealhoChar1"/>
    <w:uiPriority w:val="99"/>
    <w:unhideWhenUsed/>
    <w:pPr>
      <w:tabs>
        <w:tab w:val="clear" w:pos="720"/>
        <w:tab w:val="center" w:pos="4252" w:leader="none"/>
        <w:tab w:val="right" w:pos="8504" w:leader="none"/>
      </w:tabs>
      <w:spacing w:lineRule="auto" w:line="240" w:before="0" w:after="0"/>
    </w:pPr>
    <w:rPr/>
  </w:style>
  <w:style w:type="paragraph" w:styleId="Annotationsubject">
    <w:name w:val="annotation subject"/>
    <w:basedOn w:val="Annotationtext"/>
    <w:next w:val="Annotationtext"/>
    <w:qFormat/>
    <w:pPr>
      <w:spacing w:before="0" w:after="200"/>
    </w:pPr>
    <w:rPr>
      <w:rFonts w:ascii="Calibri" w:hAnsi="Calibri" w:eastAsia="Calibri" w:cs="Tahoma"/>
      <w:b/>
      <w:bCs/>
      <w:lang w:eastAsia="en-US"/>
    </w:rPr>
  </w:style>
  <w:style w:type="paragraph" w:styleId="Rodap">
    <w:name w:val="Footer"/>
    <w:basedOn w:val="Normal"/>
    <w:link w:val="RodapChar1"/>
    <w:uiPriority w:val="99"/>
    <w:unhideWhenUsed/>
    <w:pPr>
      <w:tabs>
        <w:tab w:val="clear" w:pos="720"/>
        <w:tab w:val="center" w:pos="4252" w:leader="none"/>
        <w:tab w:val="right" w:pos="8504" w:leader="none"/>
      </w:tabs>
      <w:spacing w:lineRule="auto" w:line="240" w:before="0" w:after="0"/>
    </w:pPr>
    <w:rPr/>
  </w:style>
  <w:style w:type="paragraph" w:styleId="Caption">
    <w:name w:val="caption"/>
    <w:basedOn w:val="Normal"/>
    <w:next w:val="Normal"/>
    <w:qFormat/>
    <w:pPr>
      <w:spacing w:lineRule="auto" w:line="240"/>
    </w:pPr>
    <w:rPr>
      <w:b/>
      <w:bCs/>
      <w:color w:val="4F81BD"/>
      <w:sz w:val="18"/>
      <w:szCs w:val="18"/>
    </w:rPr>
  </w:style>
  <w:style w:type="paragraph" w:styleId="BalloonText">
    <w:name w:val="Balloon Text"/>
    <w:basedOn w:val="Normal"/>
    <w:qFormat/>
    <w:pPr>
      <w:spacing w:lineRule="auto" w:line="240" w:before="0" w:after="0"/>
    </w:pPr>
    <w:rPr>
      <w:rFonts w:ascii="Tahoma" w:hAnsi="Tahoma"/>
      <w:sz w:val="16"/>
      <w:szCs w:val="16"/>
    </w:rPr>
  </w:style>
  <w:style w:type="paragraph" w:styleId="Notaderodap">
    <w:name w:val="Footnote Text"/>
    <w:basedOn w:val="Normal"/>
    <w:link w:val="TextodenotaderodapChar"/>
    <w:pPr>
      <w:suppressAutoHyphens w:val="false"/>
      <w:spacing w:lineRule="auto" w:line="240" w:before="0" w:after="0"/>
    </w:pPr>
    <w:rPr>
      <w:rFonts w:ascii="Times New Roman" w:hAnsi="Times New Roman" w:eastAsia="Times New Roman" w:cs="Times New Roman"/>
      <w:sz w:val="20"/>
      <w:szCs w:val="20"/>
      <w:lang w:eastAsia="pt-BR"/>
    </w:rPr>
  </w:style>
  <w:style w:type="paragraph" w:styleId="Sumrio1">
    <w:name w:val="TOC 1"/>
    <w:basedOn w:val="Normal"/>
    <w:next w:val="Normal"/>
    <w:uiPriority w:val="39"/>
    <w:unhideWhenUsed/>
    <w:pPr>
      <w:spacing w:before="0" w:after="100"/>
    </w:pPr>
    <w:rPr/>
  </w:style>
  <w:style w:type="paragraph" w:styleId="Ttulo11" w:customStyle="1">
    <w:name w:val="Título 11"/>
    <w:basedOn w:val="Normal"/>
    <w:next w:val="Normal"/>
    <w:qFormat/>
    <w:pPr>
      <w:keepNext w:val="true"/>
      <w:spacing w:lineRule="auto" w:line="240" w:before="0" w:after="0"/>
      <w:outlineLvl w:val="0"/>
    </w:pPr>
    <w:rPr>
      <w:rFonts w:ascii="Times New Roman" w:hAnsi="Times New Roman" w:eastAsia="Times New Roman" w:cs="Times New Roman"/>
      <w:b/>
      <w:bCs/>
      <w:sz w:val="24"/>
      <w:szCs w:val="24"/>
      <w:lang w:eastAsia="pt-BR"/>
    </w:rPr>
  </w:style>
  <w:style w:type="paragraph" w:styleId="Ttulo21" w:customStyle="1">
    <w:name w:val="Título 21"/>
    <w:basedOn w:val="Normal"/>
    <w:next w:val="Normal"/>
    <w:qFormat/>
    <w:pPr>
      <w:keepNext w:val="true"/>
      <w:spacing w:lineRule="auto" w:line="240" w:before="0" w:after="0"/>
      <w:jc w:val="both"/>
      <w:outlineLvl w:val="1"/>
    </w:pPr>
    <w:rPr>
      <w:rFonts w:ascii="Times New Roman" w:hAnsi="Times New Roman" w:eastAsia="Times New Roman" w:cs="Times New Roman"/>
      <w:b/>
      <w:bCs/>
      <w:sz w:val="24"/>
      <w:szCs w:val="24"/>
      <w:lang w:eastAsia="pt-BR"/>
    </w:rPr>
  </w:style>
  <w:style w:type="paragraph" w:styleId="Ttulo31" w:customStyle="1">
    <w:name w:val="Título 31"/>
    <w:basedOn w:val="Normal"/>
    <w:next w:val="Normal"/>
    <w:qFormat/>
    <w:pPr>
      <w:keepNext w:val="true"/>
      <w:spacing w:lineRule="auto" w:line="240" w:before="0" w:after="0"/>
      <w:outlineLvl w:val="2"/>
    </w:pPr>
    <w:rPr>
      <w:rFonts w:ascii="Times New Roman" w:hAnsi="Times New Roman" w:eastAsia="Arial Unicode MS" w:cs="Times New Roman"/>
      <w:b/>
      <w:bCs/>
      <w:sz w:val="24"/>
      <w:szCs w:val="20"/>
      <w:lang w:eastAsia="pt-BR"/>
    </w:rPr>
  </w:style>
  <w:style w:type="paragraph" w:styleId="Ttulo41" w:customStyle="1">
    <w:name w:val="Título 41"/>
    <w:basedOn w:val="Normal"/>
    <w:next w:val="Normal"/>
    <w:qFormat/>
    <w:pPr>
      <w:keepNext w:val="true"/>
      <w:spacing w:lineRule="auto" w:line="240" w:before="240" w:after="60"/>
      <w:outlineLvl w:val="3"/>
    </w:pPr>
    <w:rPr>
      <w:rFonts w:ascii="Times New Roman" w:hAnsi="Times New Roman" w:eastAsia="Times New Roman" w:cs="Times New Roman"/>
      <w:b/>
      <w:bCs/>
      <w:sz w:val="28"/>
      <w:szCs w:val="28"/>
      <w:lang w:eastAsia="pt-BR"/>
    </w:rPr>
  </w:style>
  <w:style w:type="paragraph" w:styleId="Ttulo51" w:customStyle="1">
    <w:name w:val="Título 51"/>
    <w:basedOn w:val="Normal"/>
    <w:next w:val="Normal"/>
    <w:qFormat/>
    <w:pPr>
      <w:spacing w:lineRule="auto" w:line="240" w:before="240" w:after="60"/>
      <w:outlineLvl w:val="4"/>
    </w:pPr>
    <w:rPr>
      <w:rFonts w:ascii="Times New Roman" w:hAnsi="Times New Roman" w:eastAsia="Times New Roman" w:cs="Times New Roman"/>
      <w:b/>
      <w:bCs/>
      <w:i/>
      <w:iCs/>
      <w:sz w:val="26"/>
      <w:szCs w:val="26"/>
      <w:lang w:eastAsia="pt-BR"/>
    </w:rPr>
  </w:style>
  <w:style w:type="paragraph" w:styleId="Ttulo61" w:customStyle="1">
    <w:name w:val="Título 61"/>
    <w:basedOn w:val="Normal"/>
    <w:next w:val="Normal"/>
    <w:qFormat/>
    <w:pPr>
      <w:spacing w:lineRule="auto" w:line="240" w:before="240" w:after="60"/>
      <w:outlineLvl w:val="5"/>
    </w:pPr>
    <w:rPr>
      <w:rFonts w:ascii="Times New Roman" w:hAnsi="Times New Roman" w:eastAsia="Times New Roman" w:cs="Times New Roman"/>
      <w:b/>
      <w:bCs/>
      <w:lang w:eastAsia="pt-BR"/>
    </w:rPr>
  </w:style>
  <w:style w:type="paragraph" w:styleId="Ttulo71" w:customStyle="1">
    <w:name w:val="Título 71"/>
    <w:basedOn w:val="Normal"/>
    <w:next w:val="Normal"/>
    <w:qFormat/>
    <w:pPr>
      <w:spacing w:lineRule="auto" w:line="240" w:before="240" w:after="60"/>
      <w:outlineLvl w:val="6"/>
    </w:pPr>
    <w:rPr>
      <w:rFonts w:ascii="Times New Roman" w:hAnsi="Times New Roman" w:eastAsia="Times New Roman" w:cs="Times New Roman"/>
      <w:sz w:val="24"/>
      <w:szCs w:val="24"/>
      <w:lang w:eastAsia="pt-BR"/>
    </w:rPr>
  </w:style>
  <w:style w:type="paragraph" w:styleId="Ttulo81" w:customStyle="1">
    <w:name w:val="Título 81"/>
    <w:basedOn w:val="Normal"/>
    <w:next w:val="Normal"/>
    <w:qFormat/>
    <w:pPr>
      <w:spacing w:lineRule="auto" w:line="240" w:before="240" w:after="60"/>
      <w:outlineLvl w:val="7"/>
    </w:pPr>
    <w:rPr>
      <w:rFonts w:ascii="Times New Roman" w:hAnsi="Times New Roman" w:eastAsia="Times New Roman" w:cs="Times New Roman"/>
      <w:i/>
      <w:iCs/>
      <w:sz w:val="24"/>
      <w:szCs w:val="24"/>
      <w:lang w:eastAsia="pt-BR"/>
    </w:rPr>
  </w:style>
  <w:style w:type="paragraph" w:styleId="Ttulo91" w:customStyle="1">
    <w:name w:val="Título 91"/>
    <w:basedOn w:val="Normal"/>
    <w:next w:val="Normal"/>
    <w:qFormat/>
    <w:pPr>
      <w:spacing w:lineRule="auto" w:line="240" w:before="240" w:after="60"/>
      <w:outlineLvl w:val="8"/>
    </w:pPr>
    <w:rPr>
      <w:rFonts w:ascii="Arial" w:hAnsi="Arial" w:eastAsia="Times New Roman" w:cs="Arial"/>
      <w:lang w:eastAsia="pt-BR"/>
    </w:rPr>
  </w:style>
  <w:style w:type="paragraph" w:styleId="Legenda1" w:customStyle="1">
    <w:name w:val="Legenda1"/>
    <w:basedOn w:val="Normal"/>
    <w:qFormat/>
    <w:pPr>
      <w:suppressLineNumbers/>
      <w:spacing w:before="120" w:after="120"/>
    </w:pPr>
    <w:rPr>
      <w:rFonts w:cs="Arial"/>
      <w:i/>
      <w:iCs/>
      <w:sz w:val="24"/>
      <w:szCs w:val="24"/>
    </w:rPr>
  </w:style>
  <w:style w:type="paragraph" w:styleId="Textodenotaderodap1" w:customStyle="1">
    <w:name w:val="Texto de nota de rodapé1"/>
    <w:basedOn w:val="Normal"/>
    <w:qFormat/>
    <w:pPr>
      <w:spacing w:lineRule="auto" w:line="240" w:before="0" w:after="0"/>
    </w:pPr>
    <w:rPr>
      <w:rFonts w:ascii="Times New Roman" w:hAnsi="Times New Roman" w:eastAsia="Times New Roman" w:cs="Times New Roman"/>
      <w:sz w:val="20"/>
      <w:szCs w:val="20"/>
      <w:lang w:eastAsia="pt-BR"/>
    </w:rPr>
  </w:style>
  <w:style w:type="paragraph" w:styleId="ListParagraph">
    <w:name w:val="List Paragraph"/>
    <w:basedOn w:val="Normal"/>
    <w:qFormat/>
    <w:pPr>
      <w:spacing w:lineRule="auto" w:line="360" w:before="0" w:after="200"/>
      <w:ind w:left="720" w:firstLine="851"/>
      <w:contextualSpacing/>
      <w:jc w:val="both"/>
    </w:pPr>
    <w:rPr>
      <w:rFonts w:ascii="Arial" w:hAnsi="Arial"/>
      <w:sz w:val="24"/>
    </w:rPr>
  </w:style>
  <w:style w:type="paragraph" w:styleId="Font5" w:customStyle="1">
    <w:name w:val="font5"/>
    <w:basedOn w:val="Normal"/>
    <w:qFormat/>
    <w:pPr>
      <w:spacing w:lineRule="auto" w:line="240" w:before="280" w:after="280"/>
    </w:pPr>
    <w:rPr>
      <w:rFonts w:ascii="Times New Roman" w:hAnsi="Times New Roman" w:eastAsia="Times New Roman" w:cs="Times New Roman"/>
      <w:b/>
      <w:bCs/>
      <w:sz w:val="12"/>
      <w:szCs w:val="12"/>
      <w:lang w:eastAsia="pt-BR"/>
    </w:rPr>
  </w:style>
  <w:style w:type="paragraph" w:styleId="Xl63" w:customStyle="1">
    <w:name w:val="xl63"/>
    <w:basedOn w:val="Normal"/>
    <w:qFormat/>
    <w:pPr>
      <w:pBdr>
        <w:top w:val="single" w:sz="4" w:space="0" w:color="000000"/>
        <w:left w:val="single" w:sz="4" w:space="0" w:color="000000"/>
        <w:bottom w:val="single" w:sz="4" w:space="0" w:color="000000"/>
        <w:right w:val="single" w:sz="4" w:space="0" w:color="000000"/>
      </w:pBdr>
      <w:shd w:val="clear" w:color="auto" w:fill="BFBFBF"/>
      <w:spacing w:lineRule="auto" w:line="240" w:before="280" w:after="280"/>
      <w:jc w:val="center"/>
      <w:textAlignment w:val="top"/>
    </w:pPr>
    <w:rPr>
      <w:rFonts w:ascii="Times New Roman" w:hAnsi="Times New Roman" w:eastAsia="Times New Roman" w:cs="Times New Roman"/>
      <w:color w:val="000000"/>
      <w:sz w:val="12"/>
      <w:szCs w:val="12"/>
      <w:lang w:eastAsia="pt-BR"/>
    </w:rPr>
  </w:style>
  <w:style w:type="paragraph" w:styleId="Xl64" w:customStyle="1">
    <w:name w:val="xl64"/>
    <w:basedOn w:val="Normal"/>
    <w:qFormat/>
    <w:pPr>
      <w:pBdr>
        <w:top w:val="single" w:sz="4" w:space="0" w:color="000000"/>
        <w:left w:val="single" w:sz="4" w:space="0" w:color="000000"/>
        <w:bottom w:val="single" w:sz="4" w:space="0" w:color="000000"/>
        <w:right w:val="single" w:sz="4" w:space="0" w:color="000000"/>
      </w:pBdr>
      <w:shd w:val="clear" w:color="auto" w:fill="BFBFBF"/>
      <w:spacing w:lineRule="auto" w:line="240" w:before="280" w:after="280"/>
      <w:jc w:val="center"/>
      <w:textAlignment w:val="center"/>
    </w:pPr>
    <w:rPr>
      <w:rFonts w:ascii="Times New Roman" w:hAnsi="Times New Roman" w:eastAsia="Times New Roman" w:cs="Times New Roman"/>
      <w:b/>
      <w:bCs/>
      <w:sz w:val="12"/>
      <w:szCs w:val="12"/>
      <w:lang w:eastAsia="pt-BR"/>
    </w:rPr>
  </w:style>
  <w:style w:type="paragraph" w:styleId="Xl65" w:customStyle="1">
    <w:name w:val="xl65"/>
    <w:basedOn w:val="Normal"/>
    <w:qFormat/>
    <w:pPr>
      <w:pBdr>
        <w:top w:val="single" w:sz="4" w:space="0" w:color="000000"/>
        <w:left w:val="single" w:sz="4" w:space="7" w:color="000000"/>
        <w:bottom w:val="single" w:sz="4" w:space="0" w:color="000000"/>
        <w:right w:val="single" w:sz="4" w:space="0" w:color="000000"/>
      </w:pBdr>
      <w:shd w:val="clear" w:color="auto" w:fill="BFBFBF"/>
      <w:spacing w:lineRule="auto" w:line="240" w:before="280" w:after="280"/>
      <w:ind w:firstLine="100"/>
      <w:textAlignment w:val="top"/>
    </w:pPr>
    <w:rPr>
      <w:rFonts w:ascii="Times New Roman" w:hAnsi="Times New Roman" w:eastAsia="Times New Roman" w:cs="Times New Roman"/>
      <w:b/>
      <w:bCs/>
      <w:sz w:val="12"/>
      <w:szCs w:val="12"/>
      <w:lang w:eastAsia="pt-BR"/>
    </w:rPr>
  </w:style>
  <w:style w:type="paragraph" w:styleId="Xl66" w:customStyle="1">
    <w:name w:val="xl66"/>
    <w:basedOn w:val="Normal"/>
    <w:qFormat/>
    <w:pPr>
      <w:pBdr>
        <w:top w:val="single" w:sz="4" w:space="0" w:color="000000"/>
        <w:left w:val="single" w:sz="4" w:space="14" w:color="000000"/>
        <w:bottom w:val="single" w:sz="4" w:space="0" w:color="000000"/>
        <w:right w:val="single" w:sz="4" w:space="0" w:color="000000"/>
      </w:pBdr>
      <w:shd w:val="clear" w:color="auto" w:fill="BFBFBF"/>
      <w:spacing w:lineRule="auto" w:line="240" w:before="280" w:after="280"/>
      <w:ind w:firstLine="200"/>
      <w:textAlignment w:val="top"/>
    </w:pPr>
    <w:rPr>
      <w:rFonts w:ascii="Times New Roman" w:hAnsi="Times New Roman" w:eastAsia="Times New Roman" w:cs="Times New Roman"/>
      <w:b/>
      <w:bCs/>
      <w:sz w:val="12"/>
      <w:szCs w:val="12"/>
      <w:lang w:eastAsia="pt-BR"/>
    </w:rPr>
  </w:style>
  <w:style w:type="paragraph" w:styleId="Xl67" w:customStyle="1">
    <w:name w:val="xl67"/>
    <w:basedOn w:val="Normal"/>
    <w:qFormat/>
    <w:pPr>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68" w:customStyle="1">
    <w:name w:val="xl68"/>
    <w:basedOn w:val="Normal"/>
    <w:qFormat/>
    <w:pPr>
      <w:spacing w:lineRule="auto" w:line="240" w:before="280" w:after="280"/>
      <w:textAlignment w:val="top"/>
    </w:pPr>
    <w:rPr>
      <w:rFonts w:ascii="Times New Roman" w:hAnsi="Times New Roman" w:eastAsia="Times New Roman" w:cs="Times New Roman"/>
      <w:b/>
      <w:bCs/>
      <w:color w:val="000000"/>
      <w:sz w:val="12"/>
      <w:szCs w:val="12"/>
      <w:lang w:eastAsia="pt-BR"/>
    </w:rPr>
  </w:style>
  <w:style w:type="paragraph" w:styleId="Xl69" w:customStyle="1">
    <w:name w:val="xl69"/>
    <w:basedOn w:val="Normal"/>
    <w:qFormat/>
    <w:pPr>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0" w:customStyle="1">
    <w:name w:val="xl70"/>
    <w:basedOn w:val="Normal"/>
    <w:qFormat/>
    <w:pPr>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1" w:customStyle="1">
    <w:name w:val="xl71"/>
    <w:basedOn w:val="Normal"/>
    <w:qFormat/>
    <w:pPr>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2" w:customStyle="1">
    <w:name w:val="xl72"/>
    <w:basedOn w:val="Normal"/>
    <w:qFormat/>
    <w:pPr>
      <w:shd w:val="clear" w:color="auto" w:fill="FFFF00"/>
      <w:spacing w:lineRule="auto" w:line="240" w:before="280" w:after="280"/>
      <w:textAlignment w:val="top"/>
    </w:pPr>
    <w:rPr>
      <w:rFonts w:ascii="Times New Roman" w:hAnsi="Times New Roman" w:eastAsia="Times New Roman" w:cs="Times New Roman"/>
      <w:b/>
      <w:bCs/>
      <w:color w:val="000000"/>
      <w:sz w:val="12"/>
      <w:szCs w:val="12"/>
      <w:lang w:eastAsia="pt-BR"/>
    </w:rPr>
  </w:style>
  <w:style w:type="paragraph" w:styleId="Xl73" w:customStyle="1">
    <w:name w:val="xl73"/>
    <w:basedOn w:val="Normal"/>
    <w:qFormat/>
    <w:pPr>
      <w:shd w:val="clear" w:color="auto" w:fill="FFFF00"/>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4" w:customStyle="1">
    <w:name w:val="xl74"/>
    <w:basedOn w:val="Normal"/>
    <w:qFormat/>
    <w:pPr>
      <w:shd w:val="clear" w:color="auto" w:fill="FFFF00"/>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5" w:customStyle="1">
    <w:name w:val="xl75"/>
    <w:basedOn w:val="Normal"/>
    <w:qFormat/>
    <w:pPr>
      <w:shd w:val="clear" w:color="auto" w:fill="FFFF00"/>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Xl76" w:customStyle="1">
    <w:name w:val="xl76"/>
    <w:basedOn w:val="Normal"/>
    <w:qFormat/>
    <w:pPr>
      <w:shd w:val="clear" w:color="auto" w:fill="FFFF00"/>
      <w:spacing w:lineRule="auto" w:line="240" w:before="280" w:after="280"/>
      <w:textAlignment w:val="top"/>
    </w:pPr>
    <w:rPr>
      <w:rFonts w:ascii="Times New Roman" w:hAnsi="Times New Roman" w:eastAsia="Times New Roman" w:cs="Times New Roman"/>
      <w:color w:val="000000"/>
      <w:sz w:val="12"/>
      <w:szCs w:val="12"/>
      <w:lang w:eastAsia="pt-BR"/>
    </w:rPr>
  </w:style>
  <w:style w:type="paragraph" w:styleId="CabealhodoSumrio1" w:customStyle="1">
    <w:name w:val="Cabeçalho do Sumário1"/>
    <w:basedOn w:val="Ttulo11"/>
    <w:next w:val="Normal"/>
    <w:qFormat/>
    <w:pPr>
      <w:keepLines/>
      <w:spacing w:lineRule="auto" w:line="276" w:before="480" w:after="0"/>
    </w:pPr>
    <w:rPr>
      <w:rFonts w:ascii="Cambria" w:hAnsi="Cambria" w:eastAsia="Calibri" w:cs="Tahoma"/>
      <w:color w:val="365F91"/>
      <w:sz w:val="28"/>
      <w:szCs w:val="28"/>
    </w:rPr>
  </w:style>
  <w:style w:type="paragraph" w:styleId="Sumrio11" w:customStyle="1">
    <w:name w:val="Sumário 11"/>
    <w:basedOn w:val="Normal"/>
    <w:next w:val="Normal"/>
    <w:qFormat/>
    <w:pPr>
      <w:spacing w:before="0" w:after="100"/>
    </w:pPr>
    <w:rPr/>
  </w:style>
  <w:style w:type="paragraph" w:styleId="Cabealho1" w:customStyle="1">
    <w:name w:val="Cabeçalho1"/>
    <w:basedOn w:val="Normal"/>
    <w:qFormat/>
    <w:pPr>
      <w:tabs>
        <w:tab w:val="clear" w:pos="720"/>
        <w:tab w:val="center" w:pos="4252" w:leader="none"/>
        <w:tab w:val="right" w:pos="8504" w:leader="none"/>
      </w:tabs>
      <w:spacing w:lineRule="auto" w:line="240" w:before="0" w:after="0"/>
    </w:pPr>
    <w:rPr/>
  </w:style>
  <w:style w:type="paragraph" w:styleId="Rodap1" w:customStyle="1">
    <w:name w:val="Rodapé1"/>
    <w:basedOn w:val="Normal"/>
    <w:qFormat/>
    <w:pPr>
      <w:tabs>
        <w:tab w:val="clear" w:pos="720"/>
        <w:tab w:val="center" w:pos="4252" w:leader="none"/>
        <w:tab w:val="right" w:pos="8504" w:leader="none"/>
      </w:tabs>
      <w:spacing w:lineRule="auto" w:line="240" w:before="0" w:after="0"/>
    </w:pPr>
    <w:rPr/>
  </w:style>
  <w:style w:type="paragraph" w:styleId="AaaaaaaRapido" w:customStyle="1">
    <w:name w:val="AaaaaaaRapido"/>
    <w:basedOn w:val="Normal"/>
    <w:qFormat/>
    <w:pPr>
      <w:spacing w:lineRule="auto" w:line="360"/>
      <w:ind w:firstLine="708"/>
      <w:jc w:val="both"/>
    </w:pPr>
    <w:rPr>
      <w:rFonts w:ascii="Times New Roman" w:hAnsi="Times New Roman" w:cs="Times New Roman"/>
      <w:color w:val="00000A"/>
      <w:sz w:val="24"/>
      <w:szCs w:val="24"/>
    </w:rPr>
  </w:style>
  <w:style w:type="paragraph" w:styleId="Contedodatabela" w:customStyle="1">
    <w:name w:val="Conteúdo da tabela"/>
    <w:basedOn w:val="Normal"/>
    <w:qFormat/>
    <w:pPr>
      <w:widowControl w:val="false"/>
      <w:suppressLineNumbers/>
    </w:pPr>
    <w:rPr/>
  </w:style>
  <w:style w:type="paragraph" w:styleId="NoSpacing">
    <w:name w:val="No Spacing"/>
    <w:uiPriority w:val="1"/>
    <w:qFormat/>
    <w:pPr>
      <w:widowControl/>
      <w:suppressAutoHyphens w:val="true"/>
      <w:bidi w:val="0"/>
      <w:spacing w:before="0" w:after="0"/>
      <w:jc w:val="left"/>
    </w:pPr>
    <w:rPr>
      <w:rFonts w:ascii="Calibri" w:hAnsi="Calibri" w:eastAsia="Calibri" w:cs="" w:cstheme="minorBidi"/>
      <w:color w:val="00000A"/>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Pr>
      <w:rFonts w:asciiTheme="minorHAnsi" w:hAnsiTheme="minorHAnsi" w:eastAsiaTheme="minorHAnsi" w:cstheme="minorBid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sei.rn.gov.br/sei/controlador_externo.php?acao=documento_conferir&amp;id_orgao_acesso_externo=0"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B5BA9A2-DDB7-4287-8AD4-85FD0CD544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LibreOffice/6.4.7.2$Windows_X86_64 LibreOffice_project/639b8ac485750d5696d7590a72ef1b496725cfb5</Application>
  <Pages>16</Pages>
  <Words>11831</Words>
  <Characters>66651</Characters>
  <CharactersWithSpaces>77962</CharactersWithSpaces>
  <Paragraphs>676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2022-11-29T01:21:00Z</dcterms:created>
  <dc:creator>Neote</dc:creator>
  <dc:description/>
  <dc:language>pt-BR</dc:language>
  <cp:lastModifiedBy/>
  <dcterms:modified xsi:type="dcterms:W3CDTF">2022-12-02T11:56:34Z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CV">
    <vt:lpwstr>5A5919261BBF486A9AA28C283F5B83AE</vt:lpwstr>
  </property>
  <property fmtid="{D5CDD505-2E9C-101B-9397-08002B2CF9AE}" pid="6" name="KSOProductBuildVer">
    <vt:lpwstr>1046-11.2.0.11380</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