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3827145</wp:posOffset>
            </wp:positionH>
            <wp:positionV relativeFrom="margin">
              <wp:posOffset>-635</wp:posOffset>
            </wp:positionV>
            <wp:extent cx="1569720" cy="725805"/>
            <wp:effectExtent l="0" t="0" r="0" b="0"/>
            <wp:wrapSquare wrapText="bothSides"/>
            <wp:docPr id="1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114300" simplePos="0" locked="0" layoutInCell="1" allowOverlap="1" relativeHeight="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7820" cy="614045"/>
            <wp:effectExtent l="0" t="0" r="0" b="0"/>
            <wp:wrapSquare wrapText="bothSides"/>
            <wp:docPr id="2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506629561"/>
      <w:bookmarkStart w:id="1" w:name="_Hlk506629561"/>
      <w:bookmarkEnd w:id="1"/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0"/>
          <w:szCs w:val="50"/>
          <w:highlight w:val="white"/>
        </w:rPr>
      </w:pPr>
      <w:r>
        <w:rPr>
          <w:rFonts w:cs="Times New Roman" w:ascii="Times New Roman" w:hAnsi="Times New Roman"/>
          <w:b/>
          <w:sz w:val="50"/>
          <w:szCs w:val="50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  <w:shd w:fill="F9FBFD" w:val="clear"/>
        </w:rPr>
        <w:t>NOTA TÉCNICA Nº 001/2023-ARSBAN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  <w:shd w:fill="F9FBFD" w:val="clear"/>
        </w:rPr>
        <w:t>ANÁLISE DO 1º REAJUSTE TARIFÁRIO DO 4º CICLO TARIFÁRIO DOS SERVIÇOS DE ABASTECIMENTO DE ÁGUA E ESGOTAMENTO SANITÁRIO PRESTADOS NO MUNICÍPIO DO NATAL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  <w:shd w:fill="F9FBFD" w:val="clear"/>
        </w:rPr>
        <w:t>Natal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  <w:shd w:fill="F9FBFD" w:val="clear"/>
        </w:rPr>
        <w:t>Janeiro/2023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OCHeading"/>
            <w:jc w:val="center"/>
            <w:rPr>
              <w:rFonts w:ascii="Times New Roman" w:hAnsi="Times New Roman" w:cs="Times New Roman"/>
              <w:color w:val="000000" w:themeColor="text1"/>
            </w:rPr>
          </w:pPr>
          <w:r>
            <w:rPr>
              <w:rFonts w:cs="Times New Roman" w:ascii="Times New Roman" w:hAnsi="Times New Roman"/>
              <w:color w:val="000000" w:themeColor="text1"/>
            </w:rPr>
            <w:t>Sumário</w:t>
          </w:r>
        </w:p>
        <w:p>
          <w:pPr>
            <w:pStyle w:val="Sumrio1"/>
            <w:tabs>
              <w:tab w:val="clear" w:pos="708"/>
              <w:tab w:val="right" w:pos="8494" w:leader="dot"/>
            </w:tabs>
            <w:rPr>
              <w:rFonts w:ascii="Times New Roman" w:hAnsi="Times New Roman" w:eastAsia="" w:cs="Times New Roman" w:eastAsiaTheme="minorEastAsia"/>
              <w:color w:val="000000" w:themeColor="text1"/>
              <w:lang w:eastAsia="pt-BR"/>
            </w:rPr>
          </w:pPr>
          <w:r>
            <w:fldChar w:fldCharType="begin"/>
          </w:r>
          <w:r>
            <w:rPr>
              <w:webHidden/>
              <w:rStyle w:val="Vnculodendice"/>
              <w:vanish w:val="false"/>
              <w:rFonts w:cs="Times New Roman" w:ascii="Times New Roman" w:hAnsi="Times New Roman"/>
            </w:rPr>
            <w:instrText> TOC \z \o "1-3" \u \h</w:instrText>
          </w:r>
          <w:r>
            <w:rPr>
              <w:webHidden/>
              <w:rStyle w:val="Vnculodendice"/>
              <w:vanish w:val="false"/>
              <w:rFonts w:cs="Times New Roman" w:ascii="Times New Roman" w:hAnsi="Times New Roman"/>
            </w:rPr>
            <w:fldChar w:fldCharType="separate"/>
          </w:r>
          <w:hyperlink w:anchor="_Toc12437353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_Toc124373534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  <w:color w:val="000000" w:themeColor="text1"/>
              </w:rPr>
              <w:t>1. Considerações iniciais</w:t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tabs>
              <w:tab w:val="clear" w:pos="708"/>
              <w:tab w:val="right" w:pos="8494" w:leader="dot"/>
            </w:tabs>
            <w:rPr>
              <w:rFonts w:ascii="Times New Roman" w:hAnsi="Times New Roman" w:eastAsia="" w:cs="Times New Roman" w:eastAsiaTheme="minorEastAsia"/>
              <w:color w:val="000000" w:themeColor="text1"/>
              <w:lang w:eastAsia="pt-BR"/>
            </w:rPr>
          </w:pPr>
          <w:hyperlink w:anchor="_Toc12437353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_Toc124373535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  <w:color w:val="000000" w:themeColor="text1"/>
              </w:rPr>
              <w:t>2. Legitimidade do reajuste tarifário pleiteado</w:t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tabs>
              <w:tab w:val="clear" w:pos="708"/>
              <w:tab w:val="right" w:pos="8494" w:leader="dot"/>
            </w:tabs>
            <w:rPr>
              <w:rFonts w:ascii="Times New Roman" w:hAnsi="Times New Roman" w:eastAsia="" w:cs="Times New Roman" w:eastAsiaTheme="minorEastAsia"/>
              <w:color w:val="000000" w:themeColor="text1"/>
              <w:lang w:eastAsia="pt-BR"/>
            </w:rPr>
          </w:pPr>
          <w:hyperlink w:anchor="_Toc12437353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_Toc124373536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  <w:color w:val="000000" w:themeColor="text1"/>
              </w:rPr>
              <w:t>3. Análise regulatória do Índice de Reajuste Tarifário</w:t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tabs>
              <w:tab w:val="clear" w:pos="708"/>
              <w:tab w:val="right" w:pos="8494" w:leader="dot"/>
            </w:tabs>
            <w:rPr>
              <w:rFonts w:ascii="Times New Roman" w:hAnsi="Times New Roman" w:eastAsia="" w:cs="Times New Roman" w:eastAsiaTheme="minorEastAsia"/>
              <w:color w:val="000000" w:themeColor="text1"/>
              <w:lang w:eastAsia="pt-BR"/>
            </w:rPr>
          </w:pPr>
          <w:hyperlink w:anchor="_Toc12437353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_Toc124373537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  <w:color w:val="000000" w:themeColor="text1"/>
              </w:rPr>
              <w:t>4. Considerações finais</w:t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/>
          </w:pPr>
          <w:r>
            <w:rPr/>
          </w:r>
          <w:r>
            <w:rPr/>
            <w:fldChar w:fldCharType="end"/>
          </w:r>
        </w:p>
      </w:sdtContent>
    </w:sdt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Ttulo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124373534"/>
      <w:r>
        <w:rPr>
          <w:rFonts w:cs="Times New Roman" w:ascii="Times New Roman" w:hAnsi="Times New Roman"/>
          <w:color w:val="000000" w:themeColor="text1"/>
          <w:sz w:val="24"/>
          <w:szCs w:val="24"/>
        </w:rPr>
        <w:t>1. Considerações iniciais</w:t>
      </w:r>
      <w:bookmarkEnd w:id="2"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objetivo desta nota técnica é apresentar o parecer sobre o pleito de reajuste tarifário para os serviços diretos e indiretos de abastecimento de água e esgotamento sanitário prestados no município do Natal pela Companhia de Águas e Esgotos do Rio Grande do Norte-CAERN por meio do Ofício nº 145/2022/CAERN - UNAR/CAERN - GCP/CAERN - DP/CAERN - PR-CAERN.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 referido ofício, a CAERN solicita “</w:t>
      </w:r>
      <w:r>
        <w:rPr>
          <w:rFonts w:cs="Times New Roman" w:ascii="Times New Roman" w:hAnsi="Times New Roman"/>
          <w:b/>
          <w:sz w:val="24"/>
          <w:szCs w:val="24"/>
        </w:rPr>
        <w:t>13,032921%</w:t>
      </w:r>
      <w:r>
        <w:rPr>
          <w:rFonts w:cs="Times New Roman" w:ascii="Times New Roman" w:hAnsi="Times New Roman"/>
          <w:sz w:val="24"/>
          <w:szCs w:val="24"/>
        </w:rPr>
        <w:t xml:space="preserve"> de Índice de Reajuste Tarifário (IRT) a ser aplicado na estrutura tarifária atual de forma linear e na tabela de serviços indiretos regulados”. Cabe destacar que, os reajustes tarifários são regulamentados pela Resolução N° 002/2022 - ARSBAN em conjunto com a Nota Técnica nº 003/2022 - ARSBAN e a continuação serão apresentadas as análises regulatórias sob tais premissas normativas.</w:t>
      </w:r>
    </w:p>
    <w:p>
      <w:pPr>
        <w:pStyle w:val="Ttulo1"/>
        <w:rPr>
          <w:rFonts w:ascii="Times New Roman" w:hAnsi="Times New Roman" w:cs="Times New Roman"/>
        </w:rPr>
      </w:pPr>
      <w:bookmarkStart w:id="3" w:name="_Toc124373535"/>
      <w:r>
        <w:rPr>
          <w:rFonts w:cs="Times New Roman" w:ascii="Times New Roman" w:hAnsi="Times New Roman"/>
          <w:color w:val="000000" w:themeColor="text1"/>
          <w:sz w:val="24"/>
          <w:szCs w:val="24"/>
        </w:rPr>
        <w:t>2. Legitimidade do reajuste tarifário pleiteado</w:t>
      </w:r>
      <w:bookmarkEnd w:id="3"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Conforme o estabelecido no Art. 37 da Lei 11.445/07 e Art. 50 do Decreto 7.217/10 os reajustes tarifários dos serviços públicos de saneamento básico serão realizados observando-se o intervalo mínimo de 12 (doze) meses, de acordo com as normas legais, regulamentares e contratuais.</w:t>
      </w:r>
    </w:p>
    <w:p>
      <w:pPr>
        <w:pStyle w:val="Normal"/>
        <w:tabs>
          <w:tab w:val="clear" w:pos="708"/>
          <w:tab w:val="left" w:pos="567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Desde a última alteração tarifária ocorrida em Agosto/2021 na modalidade de revisão tarifária já se passaram mais de 12 meses, o que legitima a aplicabilidade do reajuste tarifário. Além disso, a Resolução 002/2018-ARSBAN estabeleceu três reajustes tarifários dentro do 4º ciclo, respeitando o intervalo mínimo de 12 meses; bem como a Resolução N° 002/2022 - ARSBAN em conjunto com a Nota Técnica nº 003/2022 – ARSBAN e, também, conforme estabelece o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Art. 49 do </w:t>
      </w:r>
      <w:r>
        <w:rPr>
          <w:rFonts w:cs="Times New Roman" w:ascii="Times New Roman" w:hAnsi="Times New Roman"/>
          <w:sz w:val="24"/>
          <w:szCs w:val="24"/>
        </w:rPr>
        <w:t>Decreto 7.217/10: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t-BR"/>
        </w:rPr>
        <w:t xml:space="preserve">“[...] tarifas e outros preços públicos serão fixados de forma clara e objetiva, devendo os reajustes e as revisões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  <w:lang w:eastAsia="pt-BR"/>
        </w:rPr>
        <w:t xml:space="preserve">ser </w:t>
      </w:r>
      <w:bookmarkStart w:id="4" w:name="_GoBack"/>
      <w:bookmarkEnd w:id="4"/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  <w:lang w:eastAsia="pt-BR"/>
        </w:rPr>
        <w:t>tornados públicos com antecedência mínima de trinta dias com relação à sua aplicação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”.(destaques acrescentados)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Sobre o conteúdo do pleito de reajuste tarifário, o que está previstos no artigo 4º, Incisos V ao XII da Resolução Nº 002/2022 – ARSBAN não foram enviados. A análise regulatória entende que tais obrigações acessórias são irrelevantes para a verificação do índice de reajuste tarifário, em função da utilização IPCA como única base a ser utilizada para o primeiro reajuste tarifário do 4º ciclo (Art. 3º, §2º da Resolução Nº 002/2022 – ARSBAN) e da ausência de metodologias aprovadas para os cálculos dos fatores de eficiência, produtividade e qualidade, sendo assim, se decidiu pela admissibilidade do pleito para não acarretar riscos regulatórios desnecessários e que possam causar desequilíbrios econômico-financeiros do contato de concessão.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Uma vez que constatada a legitimidade do pleito de reajuste tarifário, cabe à ARSBAN certificar o cálculo do percentual 13,032921% de Índice de Reajuste Tarifário (IrT) pleiteados pela CAERN para os serviços prestados no município do Natal, conforme descrito na seção 3 desta nota técnica.</w:t>
      </w:r>
    </w:p>
    <w:p>
      <w:pPr>
        <w:pStyle w:val="Ttulo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24373536"/>
      <w:r>
        <w:rPr>
          <w:rFonts w:cs="Times New Roman" w:ascii="Times New Roman" w:hAnsi="Times New Roman"/>
          <w:color w:val="000000" w:themeColor="text1"/>
          <w:sz w:val="24"/>
          <w:szCs w:val="24"/>
        </w:rPr>
        <w:t>3. Análise regulatória do Índice de Reajuste Tarifário</w:t>
      </w:r>
      <w:bookmarkEnd w:id="5"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AaaaaaaRapido"/>
        <w:tabs>
          <w:tab w:val="clear" w:pos="708"/>
          <w:tab w:val="left" w:pos="709" w:leader="none"/>
        </w:tabs>
        <w:spacing w:before="0" w:after="0"/>
        <w:ind w:left="108" w:hanging="0"/>
        <w:rPr/>
      </w:pPr>
      <w:r>
        <w:rPr/>
        <w:tab/>
        <w:t>Segundo o Art. 3º, §2º da Resolução Nº 002/2022 – ARSBAN “</w:t>
      </w:r>
      <w:r>
        <w:rPr>
          <w:i/>
        </w:rPr>
        <w:t>[...] O primeiro reajuste tarifário do quarto ciclo tarifário será dado pela aplicação do IPCA como índice único no realinhamento percentual na tarifa dos serviços de abastecimento de água e esgotamento sanitário</w:t>
      </w:r>
      <w:r>
        <w:rPr/>
        <w:t xml:space="preserve">”, além disso, a ausência de metodologias dos fatores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Fx</m:t>
        </m:r>
      </m:oMath>
      <w:r>
        <w:rPr>
          <w:color w:val="auto"/>
        </w:rPr>
        <w:t xml:space="preserve">= Parcela do Índice de reajuste tarifário resultante do cálculo do fator de eficiência e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Fk</m:t>
        </m:r>
      </m:oMath>
      <w:r>
        <w:rPr>
          <w:color w:val="auto"/>
        </w:rPr>
        <w:t>= Parcela do Índice de reajuste resultante do cálculo do fator de qualidade atribui o valor zero para tais variáveis (</w:t>
      </w:r>
      <w:r>
        <w:rPr/>
        <w:t>Nota Técnica nº 003/2022 – ARSBAN).</w:t>
      </w:r>
    </w:p>
    <w:p>
      <w:pPr>
        <w:pStyle w:val="AaaaaaaRapido"/>
        <w:tabs>
          <w:tab w:val="clear" w:pos="708"/>
          <w:tab w:val="left" w:pos="1519" w:leader="none"/>
        </w:tabs>
        <w:spacing w:before="0" w:after="0"/>
        <w:ind w:left="108" w:hanging="0"/>
        <w:rPr/>
      </w:pPr>
      <w:r>
        <w:rPr/>
      </w:r>
    </w:p>
    <w:p>
      <w:pPr>
        <w:pStyle w:val="AaaaaaaRapido"/>
        <w:spacing w:before="0" w:after="0"/>
        <w:ind w:left="108" w:hanging="0"/>
        <w:rPr/>
      </w:pPr>
      <w:r>
        <w:rPr/>
        <w:tab/>
        <w:t xml:space="preserve">Neste sentido,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RINDEX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IPCAI</m:t>
        </m:r>
        <m:r>
          <w:rPr>
            <w:rFonts w:ascii="Cambria Math" w:hAnsi="Cambria Math"/>
          </w:rPr>
          <m:t xml:space="preserve">ndex</m:t>
        </m:r>
      </m:oMath>
      <w:r>
        <w:rPr>
          <w:rFonts w:eastAsia="" w:eastAsiaTheme="minorEastAsia"/>
        </w:rPr>
        <w:t xml:space="preserve"> e as notações matemáticas 2 e 3 da </w:t>
      </w:r>
      <w:r>
        <w:rPr/>
        <w:t xml:space="preserve">Nota Técnica nº 003/2022 – ARSBAN são simplificadas, conforme notações 1 e 2. Para o cálculo do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IPCAI</m:t>
        </m:r>
        <m:r>
          <w:rPr>
            <w:rFonts w:ascii="Cambria Math" w:hAnsi="Cambria Math"/>
          </w:rPr>
          <m:t xml:space="preserve">ndex</m:t>
        </m:r>
      </m:oMath>
      <w:r>
        <w:rPr/>
        <w:t>, foi resgatada a notação matemática 19, também da Nota Técnica nº 003/2022 – ARSBAN, representada aqui pela formulação 3.</w:t>
      </w:r>
    </w:p>
    <w:p>
      <w:pPr>
        <w:pStyle w:val="AaaaaaaRapido"/>
        <w:tabs>
          <w:tab w:val="clear" w:pos="708"/>
          <w:tab w:val="left" w:pos="1519" w:leader="none"/>
        </w:tabs>
        <w:spacing w:lineRule="auto" w:line="240" w:before="0" w:after="0"/>
        <w:ind w:left="108" w:hanging="0"/>
        <w:rPr/>
      </w:pPr>
      <w:r>
        <w:rPr/>
      </w:r>
    </w:p>
    <w:tbl>
      <w:tblPr>
        <w:tblW w:w="8820" w:type="dxa"/>
        <w:jc w:val="left"/>
        <w:tblInd w:w="-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38"/>
        <w:gridCol w:w="881"/>
      </w:tblGrid>
      <w:tr>
        <w:trPr/>
        <w:tc>
          <w:tcPr>
            <w:tcW w:w="7938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I</m:t>
              </m:r>
              <m:r>
                <w:rPr>
                  <w:rFonts w:ascii="Cambria Math" w:hAnsi="Cambria Math"/>
                </w:rPr>
                <m:t xml:space="preserve">rT</m:t>
              </m:r>
              <m:r>
                <w:rPr>
                  <w:rFonts w:ascii="Cambria Math" w:hAnsi="Cambria Math"/>
                </w:rPr>
                <m:t xml:space="preserve">=</m:t>
              </m:r>
              <m:d>
                <m:dPr>
                  <m:begChr m:val="("/>
                  <m:endChr m:val=")"/>
                </m:dPr>
                <m:e>
                  <m:d>
                    <m:dPr>
                      <m:begChr m:val=""/>
                      <m:endChr m:val="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RINDEX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1</m:t>
                  </m:r>
                </m:e>
              </m:d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100</m:t>
              </m:r>
            </m:oMath>
          </w:p>
        </w:tc>
        <w:tc>
          <w:tcPr>
            <w:tcW w:w="88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(1)</w:t>
            </w:r>
          </w:p>
        </w:tc>
      </w:tr>
      <w:tr>
        <w:trPr/>
        <w:tc>
          <w:tcPr>
            <w:tcW w:w="79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hanging="108"/>
              <w:jc w:val="center"/>
              <w:rPr>
                <w:rFonts w:ascii="Times New Roman" w:hAnsi="Times New Roman" w:eastAsia="Calibri" w:cs="Times New Roman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RINDEX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IPCAI</m:t>
              </m:r>
              <m:r>
                <w:rPr>
                  <w:rFonts w:ascii="Cambria Math" w:hAnsi="Cambria Math"/>
                </w:rPr>
                <m:t xml:space="preserve">ndex</m:t>
              </m:r>
            </m:oMath>
          </w:p>
        </w:tc>
        <w:tc>
          <w:tcPr>
            <w:tcW w:w="88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(2)</w:t>
            </w:r>
          </w:p>
        </w:tc>
      </w:tr>
      <w:tr>
        <w:trPr/>
        <w:tc>
          <w:tcPr>
            <w:tcW w:w="79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hanging="108"/>
              <w:jc w:val="center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IPCAIndex</m:t>
              </m:r>
              <m:r>
                <w:rPr>
                  <w:rFonts w:ascii="Cambria Math" w:hAnsi="Cambria Math"/>
                </w:rPr>
                <m:t xml:space="preserve">=</m:t>
              </m:r>
              <m:d>
                <m:dPr>
                  <m:begChr m:val="["/>
                  <m:endChr m:val="]"/>
                </m:dPr>
                <m:e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  <m:r>
                        <w:rPr>
                          <w:rFonts w:ascii="Cambria Math" w:hAnsi="Cambria Math"/>
                        </w:rPr>
                        <m:t xml:space="preserve">+</m:t>
                      </m:r>
                      <m:f>
                        <m:num>
                          <m:sSub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%IPCA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 xml:space="preserve">i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1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 xml:space="preserve">100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 xml:space="preserve">×</m:t>
                  </m:r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  <m:r>
                        <w:rPr>
                          <w:rFonts w:ascii="Cambria Math" w:hAnsi="Cambria Math"/>
                        </w:rPr>
                        <m:t xml:space="preserve">+</m:t>
                      </m:r>
                      <m:f>
                        <m:num>
                          <m:sSub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%IPCA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 xml:space="preserve">i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2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 xml:space="preserve">100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 xml:space="preserve">×</m:t>
                  </m:r>
                  <m:r>
                    <w:rPr>
                      <w:rFonts w:ascii="Cambria Math" w:hAnsi="Cambria Math"/>
                    </w:rPr>
                    <m:t xml:space="preserve">…</m:t>
                  </m:r>
                  <m:r>
                    <w:rPr>
                      <w:rFonts w:ascii="Cambria Math" w:hAnsi="Cambria Math"/>
                    </w:rPr>
                    <m:t xml:space="preserve">×</m:t>
                  </m:r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  <m:r>
                        <w:rPr>
                          <w:rFonts w:ascii="Cambria Math" w:hAnsi="Cambria Math"/>
                        </w:rPr>
                        <m:t xml:space="preserve">+</m:t>
                      </m:r>
                      <m:f>
                        <m:num>
                          <m:sSub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%IPCA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 xml:space="preserve">i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n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 xml:space="preserve">100</m:t>
                          </m:r>
                        </m:den>
                      </m:f>
                    </m:e>
                  </m:d>
                </m:e>
              </m:d>
            </m:oMath>
          </w:p>
        </w:tc>
        <w:tc>
          <w:tcPr>
            <w:tcW w:w="88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(3)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Sendo:</w:t>
      </w:r>
    </w:p>
    <w:p>
      <w:pPr>
        <w:pStyle w:val="AaaaaaaRapido"/>
        <w:tabs>
          <w:tab w:val="clear" w:pos="708"/>
          <w:tab w:val="left" w:pos="1519" w:leader="none"/>
        </w:tabs>
        <w:spacing w:lineRule="auto" w:line="240" w:before="0" w:after="0"/>
        <w:ind w:left="142" w:hanging="0"/>
        <w:rPr>
          <w:color w:val="auto"/>
          <w:sz w:val="16"/>
          <w:szCs w:val="16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IrT</m:t>
        </m:r>
      </m:oMath>
      <w:r>
        <w:rPr>
          <w:color w:val="auto"/>
          <w:sz w:val="16"/>
          <w:szCs w:val="16"/>
        </w:rPr>
        <w:t>= Índice de reajuste tarifário (Índice de reposicionamento tarifário (%) resultante de reajuste tarifário em regime de eficiência, qualidade e ajustes diversos);</w:t>
      </w:r>
    </w:p>
    <w:p>
      <w:pPr>
        <w:pStyle w:val="AaaaaaaRapido"/>
        <w:tabs>
          <w:tab w:val="clear" w:pos="708"/>
          <w:tab w:val="left" w:pos="1519" w:leader="none"/>
        </w:tabs>
        <w:spacing w:lineRule="auto" w:line="240" w:before="0" w:after="0"/>
        <w:ind w:left="142" w:hanging="0"/>
        <w:rPr>
          <w:color w:val="auto"/>
          <w:sz w:val="16"/>
          <w:szCs w:val="16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RINDEX</m:t>
        </m:r>
      </m:oMath>
      <w:r>
        <w:rPr>
          <w:color w:val="auto"/>
          <w:sz w:val="16"/>
          <w:szCs w:val="16"/>
        </w:rPr>
        <w:t xml:space="preserve">= Parcela do Índice de reajuste tarifário resultante da relação entre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color w:val="auto"/>
          <w:sz w:val="16"/>
          <w:szCs w:val="16"/>
        </w:rPr>
        <w:t xml:space="preserve">= total das despesas e custos realizados de </w:t>
      </w:r>
      <w:r>
        <w:rPr>
          <w:i/>
          <w:color w:val="auto"/>
          <w:sz w:val="16"/>
          <w:szCs w:val="16"/>
        </w:rPr>
        <w:t>1;..;n</w:t>
      </w:r>
      <w:r>
        <w:rPr>
          <w:color w:val="auto"/>
          <w:sz w:val="16"/>
          <w:szCs w:val="16"/>
        </w:rPr>
        <w:t xml:space="preserve"> a valores atualizados da data-base inicial até a data base-final 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</m:oMath>
      <w:r>
        <w:rPr>
          <w:color w:val="auto"/>
          <w:sz w:val="16"/>
          <w:szCs w:val="16"/>
        </w:rPr>
        <w:t xml:space="preserve">= total das despesas e custos realizados de </w:t>
      </w:r>
      <w:r>
        <w:rPr>
          <w:i/>
          <w:color w:val="auto"/>
          <w:sz w:val="16"/>
          <w:szCs w:val="16"/>
        </w:rPr>
        <w:t>1;..;n</w:t>
      </w:r>
      <w:r>
        <w:rPr>
          <w:color w:val="auto"/>
          <w:sz w:val="16"/>
          <w:szCs w:val="16"/>
        </w:rPr>
        <w:t xml:space="preserve"> a valores históricos;</w:t>
      </w:r>
    </w:p>
    <w:p>
      <w:pPr>
        <w:pStyle w:val="Normal"/>
        <w:spacing w:lineRule="auto" w:line="240" w:before="0" w:after="0"/>
        <w:ind w:left="142" w:hanging="0"/>
        <w:jc w:val="both"/>
        <w:rPr>
          <w:sz w:val="16"/>
          <w:szCs w:val="16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IPCAIndex</m:t>
        </m:r>
      </m:oMath>
      <w:r>
        <w:rPr>
          <w:rFonts w:cs="Times New Roman" w:ascii="Times New Roman" w:hAnsi="Times New Roman"/>
          <w:sz w:val="16"/>
          <w:szCs w:val="16"/>
        </w:rPr>
        <w:t>= Índice de reajuste das despesas e custos indexados pelo IPCA;</w:t>
      </w:r>
    </w:p>
    <w:p>
      <w:pPr>
        <w:pStyle w:val="Normal"/>
        <w:spacing w:lineRule="auto" w:line="240" w:before="0" w:after="0"/>
        <w:ind w:left="142" w:hanging="0"/>
        <w:jc w:val="both"/>
        <w:rPr>
          <w:sz w:val="16"/>
          <w:szCs w:val="16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%IPCA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rFonts w:cs="Times New Roman" w:ascii="Times New Roman" w:hAnsi="Times New Roman"/>
          <w:sz w:val="16"/>
          <w:szCs w:val="16"/>
        </w:rPr>
        <w:t xml:space="preserve">= Percentual do IPCA no final do período </w:t>
      </w:r>
      <w:r>
        <w:rPr>
          <w:rFonts w:cs="Times New Roman" w:ascii="Times New Roman" w:hAnsi="Times New Roman"/>
          <w:i/>
          <w:sz w:val="16"/>
          <w:szCs w:val="16"/>
        </w:rPr>
        <w:t>i</w:t>
      </w:r>
      <w:r>
        <w:rPr>
          <w:rFonts w:cs="Times New Roman" w:ascii="Times New Roman" w:hAnsi="Times New Roman"/>
          <w:sz w:val="16"/>
          <w:szCs w:val="16"/>
        </w:rPr>
        <w:t>.</w:t>
      </w:r>
    </w:p>
    <w:p>
      <w:pPr>
        <w:pStyle w:val="Normal"/>
        <w:spacing w:lineRule="auto" w:line="240" w:before="0" w:after="0"/>
        <w:ind w:left="142" w:hanging="0"/>
        <w:jc w:val="both"/>
        <w:rPr>
          <w:sz w:val="16"/>
          <w:szCs w:val="16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i</m:t>
        </m:r>
      </m:oMath>
      <w:r>
        <w:rPr>
          <w:rFonts w:cs="Times New Roman" w:ascii="Times New Roman" w:hAnsi="Times New Roman"/>
          <w:sz w:val="16"/>
          <w:szCs w:val="16"/>
        </w:rPr>
        <w:t>= 1;..;</w:t>
      </w:r>
      <w:r>
        <w:rPr>
          <w:rFonts w:cs="Times New Roman" w:ascii="Times New Roman" w:hAnsi="Times New Roman"/>
          <w:i/>
          <w:sz w:val="16"/>
          <w:szCs w:val="16"/>
        </w:rPr>
        <w:t xml:space="preserve">n </w:t>
      </w:r>
      <w:r>
        <w:rPr>
          <w:rFonts w:cs="Times New Roman" w:ascii="Times New Roman" w:hAnsi="Times New Roman"/>
          <w:sz w:val="16"/>
          <w:szCs w:val="16"/>
        </w:rPr>
        <w:t>(período = mês/ano).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 pleito tarifário protocolado pela CAERN (Ofício nº 145/2022/CAERN - UNAR/CAERN - GCP/CAERN - DP/CAERN - PR-CAERN) se percebe a aplicação das notações matemáticas 1 a 3, demonstrando que os cálculos seguem a metodologia estabelecida para tal fim.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Com relação aos dados utilizados no cálculo do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IPCAIndex</m:t>
        </m:r>
      </m:oMath>
      <w:r>
        <w:rPr>
          <w:rFonts w:eastAsia="" w:cs="Times New Roman" w:ascii="Times New Roman" w:hAnsi="Times New Roman" w:eastAsiaTheme="minorEastAsia"/>
          <w:sz w:val="24"/>
          <w:szCs w:val="24"/>
        </w:rPr>
        <w:t>, foi constatado que estão corretos, conforme fontes oficiais de divulgação do referido indicador e que o horizonte temporal se inicia a partir da data-base inicial estabelecida pelo Inciso I do artigo 5º da Resolução Nº 001/2021 - ARSBAN, ou seja, 01/05/2021. A tabela 1 apresenta a análise regulatória do percentual calculado.</w:t>
      </w:r>
    </w:p>
    <w:p>
      <w:pPr>
        <w:pStyle w:val="Normal"/>
        <w:jc w:val="center"/>
        <w:rPr>
          <w:rFonts w:ascii="Times New Roman" w:hAnsi="Times New Roman" w:eastAsia="" w:cs="Times New Roman" w:eastAsiaTheme="minorEastAsia"/>
          <w:b/>
          <w:b/>
          <w:sz w:val="20"/>
          <w:szCs w:val="20"/>
        </w:rPr>
      </w:pPr>
      <w:r>
        <w:rPr>
          <w:rFonts w:eastAsia="" w:cs="Times New Roman" w:ascii="Times New Roman" w:hAnsi="Times New Roman" w:eastAsiaTheme="minorEastAsia"/>
          <w:b/>
          <w:sz w:val="20"/>
          <w:szCs w:val="20"/>
        </w:rPr>
        <w:t>Tabela 1 – Análise regulatória de conformidade do IrT</w:t>
      </w:r>
    </w:p>
    <w:tbl>
      <w:tblPr>
        <w:tblW w:w="9100" w:type="dxa"/>
        <w:jc w:val="left"/>
        <w:tblInd w:w="5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19"/>
        <w:gridCol w:w="1470"/>
        <w:gridCol w:w="1811"/>
        <w:gridCol w:w="1129"/>
        <w:gridCol w:w="1316"/>
        <w:gridCol w:w="2554"/>
      </w:tblGrid>
      <w:tr>
        <w:trPr>
          <w:trHeight w:val="210" w:hRule="atLeast"/>
        </w:trPr>
        <w:tc>
          <w:tcPr>
            <w:tcW w:w="81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</w:tcBorders>
            <w:shd w:color="000000" w:fill="C5D9F1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Pleito CAERN</w:t>
            </w:r>
          </w:p>
        </w:tc>
        <w:tc>
          <w:tcPr>
            <w:tcW w:w="4999" w:type="dxa"/>
            <w:gridSpan w:val="3"/>
            <w:tcBorders>
              <w:top w:val="single" w:sz="4" w:space="0" w:color="000000"/>
            </w:tcBorders>
            <w:shd w:color="000000" w:fill="D8E4BC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Análise Regulatória</w:t>
            </w:r>
          </w:p>
        </w:tc>
      </w:tr>
      <w:tr>
        <w:trPr>
          <w:trHeight w:val="210" w:hRule="atLeast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IPCA mensal (%)</w:t>
            </w:r>
          </w:p>
        </w:tc>
        <w:tc>
          <w:tcPr>
            <w:tcW w:w="181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IPCA ACUMULADO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IPCA do mês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IPCA até o mês</w:t>
            </w:r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Índice acum. até o mês (IPCA)</w:t>
            </w:r>
          </w:p>
        </w:tc>
      </w:tr>
      <w:tr>
        <w:trPr>
          <w:trHeight w:val="210" w:hRule="atLeast"/>
        </w:trPr>
        <w:tc>
          <w:tcPr>
            <w:tcW w:w="819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abr/21</w:t>
            </w:r>
          </w:p>
        </w:tc>
        <w:tc>
          <w:tcPr>
            <w:tcW w:w="1470" w:type="dxa"/>
            <w:tcBorders/>
            <w:shd w:color="000000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11" w:type="dxa"/>
            <w:tcBorders/>
            <w:shd w:color="000000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9" w:type="dxa"/>
            <w:tcBorders/>
            <w:shd w:color="000000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16" w:type="dxa"/>
            <w:tcBorders/>
            <w:shd w:color="000000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1,00000000</w:t>
            </w:r>
          </w:p>
        </w:tc>
      </w:tr>
      <w:tr>
        <w:trPr>
          <w:trHeight w:val="210" w:hRule="atLeast"/>
        </w:trPr>
        <w:tc>
          <w:tcPr>
            <w:tcW w:w="819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mai/21</w:t>
            </w:r>
          </w:p>
        </w:tc>
        <w:tc>
          <w:tcPr>
            <w:tcW w:w="1470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0,83</w:t>
            </w:r>
          </w:p>
        </w:tc>
        <w:tc>
          <w:tcPr>
            <w:tcW w:w="18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0,830000%</w:t>
            </w:r>
          </w:p>
        </w:tc>
        <w:tc>
          <w:tcPr>
            <w:tcW w:w="11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0,83% ok</w:t>
            </w:r>
          </w:p>
        </w:tc>
        <w:tc>
          <w:tcPr>
            <w:tcW w:w="13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0,830000% ok</w:t>
            </w:r>
          </w:p>
        </w:tc>
        <w:tc>
          <w:tcPr>
            <w:tcW w:w="25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1,00830000</w:t>
            </w:r>
          </w:p>
        </w:tc>
      </w:tr>
      <w:tr>
        <w:trPr>
          <w:trHeight w:val="210" w:hRule="atLeast"/>
        </w:trPr>
        <w:tc>
          <w:tcPr>
            <w:tcW w:w="819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jun/21</w:t>
            </w:r>
          </w:p>
        </w:tc>
        <w:tc>
          <w:tcPr>
            <w:tcW w:w="1470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0,53</w:t>
            </w:r>
          </w:p>
        </w:tc>
        <w:tc>
          <w:tcPr>
            <w:tcW w:w="18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1,364399%</w:t>
            </w:r>
          </w:p>
        </w:tc>
        <w:tc>
          <w:tcPr>
            <w:tcW w:w="11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0,53% ok</w:t>
            </w:r>
          </w:p>
        </w:tc>
        <w:tc>
          <w:tcPr>
            <w:tcW w:w="13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1,364399% ok</w:t>
            </w:r>
          </w:p>
        </w:tc>
        <w:tc>
          <w:tcPr>
            <w:tcW w:w="25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1,01364399</w:t>
            </w:r>
          </w:p>
        </w:tc>
      </w:tr>
      <w:tr>
        <w:trPr>
          <w:trHeight w:val="210" w:hRule="atLeast"/>
        </w:trPr>
        <w:tc>
          <w:tcPr>
            <w:tcW w:w="819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jul/21</w:t>
            </w:r>
          </w:p>
        </w:tc>
        <w:tc>
          <w:tcPr>
            <w:tcW w:w="1470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0,96</w:t>
            </w:r>
          </w:p>
        </w:tc>
        <w:tc>
          <w:tcPr>
            <w:tcW w:w="18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2,337497%</w:t>
            </w:r>
          </w:p>
        </w:tc>
        <w:tc>
          <w:tcPr>
            <w:tcW w:w="11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0,96% ok</w:t>
            </w:r>
          </w:p>
        </w:tc>
        <w:tc>
          <w:tcPr>
            <w:tcW w:w="13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2,337497% ok</w:t>
            </w:r>
          </w:p>
        </w:tc>
        <w:tc>
          <w:tcPr>
            <w:tcW w:w="25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1,02337497</w:t>
            </w:r>
          </w:p>
        </w:tc>
      </w:tr>
      <w:tr>
        <w:trPr>
          <w:trHeight w:val="210" w:hRule="atLeast"/>
        </w:trPr>
        <w:tc>
          <w:tcPr>
            <w:tcW w:w="819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ago/21</w:t>
            </w:r>
          </w:p>
        </w:tc>
        <w:tc>
          <w:tcPr>
            <w:tcW w:w="1470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0,87</w:t>
            </w:r>
          </w:p>
        </w:tc>
        <w:tc>
          <w:tcPr>
            <w:tcW w:w="18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3,227833%</w:t>
            </w:r>
          </w:p>
        </w:tc>
        <w:tc>
          <w:tcPr>
            <w:tcW w:w="11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0,87% ok</w:t>
            </w:r>
          </w:p>
        </w:tc>
        <w:tc>
          <w:tcPr>
            <w:tcW w:w="13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3,227833% ok</w:t>
            </w:r>
          </w:p>
        </w:tc>
        <w:tc>
          <w:tcPr>
            <w:tcW w:w="25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1,03227833</w:t>
            </w:r>
          </w:p>
        </w:tc>
      </w:tr>
      <w:tr>
        <w:trPr>
          <w:trHeight w:val="210" w:hRule="atLeast"/>
        </w:trPr>
        <w:tc>
          <w:tcPr>
            <w:tcW w:w="819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set/21</w:t>
            </w:r>
          </w:p>
        </w:tc>
        <w:tc>
          <w:tcPr>
            <w:tcW w:w="1470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1,16</w:t>
            </w:r>
          </w:p>
        </w:tc>
        <w:tc>
          <w:tcPr>
            <w:tcW w:w="18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4,425276%</w:t>
            </w:r>
          </w:p>
        </w:tc>
        <w:tc>
          <w:tcPr>
            <w:tcW w:w="11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1,16% ok</w:t>
            </w:r>
          </w:p>
        </w:tc>
        <w:tc>
          <w:tcPr>
            <w:tcW w:w="13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4,425276% ok</w:t>
            </w:r>
          </w:p>
        </w:tc>
        <w:tc>
          <w:tcPr>
            <w:tcW w:w="25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1,04425276</w:t>
            </w:r>
          </w:p>
        </w:tc>
      </w:tr>
      <w:tr>
        <w:trPr>
          <w:trHeight w:val="210" w:hRule="atLeast"/>
        </w:trPr>
        <w:tc>
          <w:tcPr>
            <w:tcW w:w="819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out/21</w:t>
            </w:r>
          </w:p>
        </w:tc>
        <w:tc>
          <w:tcPr>
            <w:tcW w:w="1470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1,25</w:t>
            </w:r>
          </w:p>
        </w:tc>
        <w:tc>
          <w:tcPr>
            <w:tcW w:w="18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5,730592%</w:t>
            </w:r>
          </w:p>
        </w:tc>
        <w:tc>
          <w:tcPr>
            <w:tcW w:w="11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1,25% ok</w:t>
            </w:r>
          </w:p>
        </w:tc>
        <w:tc>
          <w:tcPr>
            <w:tcW w:w="13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5,730592% ok</w:t>
            </w:r>
          </w:p>
        </w:tc>
        <w:tc>
          <w:tcPr>
            <w:tcW w:w="25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1,05730592</w:t>
            </w:r>
          </w:p>
        </w:tc>
      </w:tr>
      <w:tr>
        <w:trPr>
          <w:trHeight w:val="210" w:hRule="atLeast"/>
        </w:trPr>
        <w:tc>
          <w:tcPr>
            <w:tcW w:w="819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nov/21</w:t>
            </w:r>
          </w:p>
        </w:tc>
        <w:tc>
          <w:tcPr>
            <w:tcW w:w="1470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0,95</w:t>
            </w:r>
          </w:p>
        </w:tc>
        <w:tc>
          <w:tcPr>
            <w:tcW w:w="18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6,735033%</w:t>
            </w:r>
          </w:p>
        </w:tc>
        <w:tc>
          <w:tcPr>
            <w:tcW w:w="11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0,95% ok</w:t>
            </w:r>
          </w:p>
        </w:tc>
        <w:tc>
          <w:tcPr>
            <w:tcW w:w="13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6,735033% ok</w:t>
            </w:r>
          </w:p>
        </w:tc>
        <w:tc>
          <w:tcPr>
            <w:tcW w:w="25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1,06735033</w:t>
            </w:r>
          </w:p>
        </w:tc>
      </w:tr>
      <w:tr>
        <w:trPr>
          <w:trHeight w:val="210" w:hRule="atLeast"/>
        </w:trPr>
        <w:tc>
          <w:tcPr>
            <w:tcW w:w="819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dez/21</w:t>
            </w:r>
          </w:p>
        </w:tc>
        <w:tc>
          <w:tcPr>
            <w:tcW w:w="1470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0,73</w:t>
            </w:r>
          </w:p>
        </w:tc>
        <w:tc>
          <w:tcPr>
            <w:tcW w:w="18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7,514199%</w:t>
            </w:r>
          </w:p>
        </w:tc>
        <w:tc>
          <w:tcPr>
            <w:tcW w:w="11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0,73% ok</w:t>
            </w:r>
          </w:p>
        </w:tc>
        <w:tc>
          <w:tcPr>
            <w:tcW w:w="13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7,514199% ok</w:t>
            </w:r>
          </w:p>
        </w:tc>
        <w:tc>
          <w:tcPr>
            <w:tcW w:w="25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1,07514199</w:t>
            </w:r>
          </w:p>
        </w:tc>
      </w:tr>
      <w:tr>
        <w:trPr>
          <w:trHeight w:val="210" w:hRule="atLeast"/>
        </w:trPr>
        <w:tc>
          <w:tcPr>
            <w:tcW w:w="819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jan/22</w:t>
            </w:r>
          </w:p>
        </w:tc>
        <w:tc>
          <w:tcPr>
            <w:tcW w:w="1470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0,54</w:t>
            </w:r>
          </w:p>
        </w:tc>
        <w:tc>
          <w:tcPr>
            <w:tcW w:w="18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8,094775%</w:t>
            </w:r>
          </w:p>
        </w:tc>
        <w:tc>
          <w:tcPr>
            <w:tcW w:w="11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0,54% ok</w:t>
            </w:r>
          </w:p>
        </w:tc>
        <w:tc>
          <w:tcPr>
            <w:tcW w:w="13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8,094775% ok</w:t>
            </w:r>
          </w:p>
        </w:tc>
        <w:tc>
          <w:tcPr>
            <w:tcW w:w="25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1,08094775</w:t>
            </w:r>
          </w:p>
        </w:tc>
      </w:tr>
      <w:tr>
        <w:trPr>
          <w:trHeight w:val="210" w:hRule="atLeast"/>
        </w:trPr>
        <w:tc>
          <w:tcPr>
            <w:tcW w:w="819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fev/22</w:t>
            </w:r>
          </w:p>
        </w:tc>
        <w:tc>
          <w:tcPr>
            <w:tcW w:w="1470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1,01</w:t>
            </w:r>
          </w:p>
        </w:tc>
        <w:tc>
          <w:tcPr>
            <w:tcW w:w="18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9,186533%</w:t>
            </w:r>
          </w:p>
        </w:tc>
        <w:tc>
          <w:tcPr>
            <w:tcW w:w="11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1,01% ok</w:t>
            </w:r>
          </w:p>
        </w:tc>
        <w:tc>
          <w:tcPr>
            <w:tcW w:w="13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9,186533% ok</w:t>
            </w:r>
          </w:p>
        </w:tc>
        <w:tc>
          <w:tcPr>
            <w:tcW w:w="25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1,09186533</w:t>
            </w:r>
          </w:p>
        </w:tc>
      </w:tr>
      <w:tr>
        <w:trPr>
          <w:trHeight w:val="210" w:hRule="atLeast"/>
        </w:trPr>
        <w:tc>
          <w:tcPr>
            <w:tcW w:w="819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mar/22</w:t>
            </w:r>
          </w:p>
        </w:tc>
        <w:tc>
          <w:tcPr>
            <w:tcW w:w="1470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1,62</w:t>
            </w:r>
          </w:p>
        </w:tc>
        <w:tc>
          <w:tcPr>
            <w:tcW w:w="18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10,955354%</w:t>
            </w:r>
          </w:p>
        </w:tc>
        <w:tc>
          <w:tcPr>
            <w:tcW w:w="11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1,62% ok</w:t>
            </w:r>
          </w:p>
        </w:tc>
        <w:tc>
          <w:tcPr>
            <w:tcW w:w="13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10,955354% ok</w:t>
            </w:r>
          </w:p>
        </w:tc>
        <w:tc>
          <w:tcPr>
            <w:tcW w:w="25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1,10955354</w:t>
            </w:r>
          </w:p>
        </w:tc>
      </w:tr>
      <w:tr>
        <w:trPr>
          <w:trHeight w:val="210" w:hRule="atLeast"/>
        </w:trPr>
        <w:tc>
          <w:tcPr>
            <w:tcW w:w="819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abr/22</w:t>
            </w:r>
          </w:p>
        </w:tc>
        <w:tc>
          <w:tcPr>
            <w:tcW w:w="1470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1,06</w:t>
            </w:r>
          </w:p>
        </w:tc>
        <w:tc>
          <w:tcPr>
            <w:tcW w:w="18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12,131481%</w:t>
            </w:r>
          </w:p>
        </w:tc>
        <w:tc>
          <w:tcPr>
            <w:tcW w:w="11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1,06% ok</w:t>
            </w:r>
          </w:p>
        </w:tc>
        <w:tc>
          <w:tcPr>
            <w:tcW w:w="13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12,131481% ok</w:t>
            </w:r>
          </w:p>
        </w:tc>
        <w:tc>
          <w:tcPr>
            <w:tcW w:w="25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1,12131481</w:t>
            </w:r>
          </w:p>
        </w:tc>
      </w:tr>
      <w:tr>
        <w:trPr>
          <w:trHeight w:val="210" w:hRule="atLeast"/>
        </w:trPr>
        <w:tc>
          <w:tcPr>
            <w:tcW w:w="819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mai/22</w:t>
            </w:r>
          </w:p>
        </w:tc>
        <w:tc>
          <w:tcPr>
            <w:tcW w:w="1470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0,47</w:t>
            </w:r>
          </w:p>
        </w:tc>
        <w:tc>
          <w:tcPr>
            <w:tcW w:w="18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12,658499%</w:t>
            </w:r>
          </w:p>
        </w:tc>
        <w:tc>
          <w:tcPr>
            <w:tcW w:w="11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0,47% ok</w:t>
            </w:r>
          </w:p>
        </w:tc>
        <w:tc>
          <w:tcPr>
            <w:tcW w:w="13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12,658499% ok</w:t>
            </w:r>
          </w:p>
        </w:tc>
        <w:tc>
          <w:tcPr>
            <w:tcW w:w="25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1,12658499</w:t>
            </w:r>
          </w:p>
        </w:tc>
      </w:tr>
      <w:tr>
        <w:trPr>
          <w:trHeight w:val="210" w:hRule="atLeast"/>
        </w:trPr>
        <w:tc>
          <w:tcPr>
            <w:tcW w:w="819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jun/22</w:t>
            </w:r>
          </w:p>
        </w:tc>
        <w:tc>
          <w:tcPr>
            <w:tcW w:w="1470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0,67</w:t>
            </w:r>
          </w:p>
        </w:tc>
        <w:tc>
          <w:tcPr>
            <w:tcW w:w="18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13,413311%</w:t>
            </w:r>
          </w:p>
        </w:tc>
        <w:tc>
          <w:tcPr>
            <w:tcW w:w="11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0,67% ok</w:t>
            </w:r>
          </w:p>
        </w:tc>
        <w:tc>
          <w:tcPr>
            <w:tcW w:w="13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13,413311% ok</w:t>
            </w:r>
          </w:p>
        </w:tc>
        <w:tc>
          <w:tcPr>
            <w:tcW w:w="25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1,13413311</w:t>
            </w:r>
          </w:p>
        </w:tc>
      </w:tr>
      <w:tr>
        <w:trPr>
          <w:trHeight w:val="210" w:hRule="atLeast"/>
        </w:trPr>
        <w:tc>
          <w:tcPr>
            <w:tcW w:w="819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jul/22</w:t>
            </w:r>
          </w:p>
        </w:tc>
        <w:tc>
          <w:tcPr>
            <w:tcW w:w="1470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-0,68</w:t>
            </w:r>
          </w:p>
        </w:tc>
        <w:tc>
          <w:tcPr>
            <w:tcW w:w="18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12,642101%</w:t>
            </w:r>
          </w:p>
        </w:tc>
        <w:tc>
          <w:tcPr>
            <w:tcW w:w="11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-0,68% ok</w:t>
            </w:r>
          </w:p>
        </w:tc>
        <w:tc>
          <w:tcPr>
            <w:tcW w:w="13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12,642101% ok</w:t>
            </w:r>
          </w:p>
        </w:tc>
        <w:tc>
          <w:tcPr>
            <w:tcW w:w="25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1,12642101</w:t>
            </w:r>
          </w:p>
        </w:tc>
      </w:tr>
      <w:tr>
        <w:trPr>
          <w:trHeight w:val="210" w:hRule="atLeast"/>
        </w:trPr>
        <w:tc>
          <w:tcPr>
            <w:tcW w:w="819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ago/22</w:t>
            </w:r>
          </w:p>
        </w:tc>
        <w:tc>
          <w:tcPr>
            <w:tcW w:w="1470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-0,36</w:t>
            </w:r>
          </w:p>
        </w:tc>
        <w:tc>
          <w:tcPr>
            <w:tcW w:w="18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12,236589%</w:t>
            </w:r>
          </w:p>
        </w:tc>
        <w:tc>
          <w:tcPr>
            <w:tcW w:w="11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-0,36% ok</w:t>
            </w:r>
          </w:p>
        </w:tc>
        <w:tc>
          <w:tcPr>
            <w:tcW w:w="13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12,236589% ok</w:t>
            </w:r>
          </w:p>
        </w:tc>
        <w:tc>
          <w:tcPr>
            <w:tcW w:w="25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1,12236589</w:t>
            </w:r>
          </w:p>
        </w:tc>
      </w:tr>
      <w:tr>
        <w:trPr>
          <w:trHeight w:val="210" w:hRule="atLeast"/>
        </w:trPr>
        <w:tc>
          <w:tcPr>
            <w:tcW w:w="819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set/22</w:t>
            </w:r>
          </w:p>
        </w:tc>
        <w:tc>
          <w:tcPr>
            <w:tcW w:w="1470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-0,29</w:t>
            </w:r>
          </w:p>
        </w:tc>
        <w:tc>
          <w:tcPr>
            <w:tcW w:w="18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11,911103%</w:t>
            </w:r>
          </w:p>
        </w:tc>
        <w:tc>
          <w:tcPr>
            <w:tcW w:w="11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-0,29% ok</w:t>
            </w:r>
          </w:p>
        </w:tc>
        <w:tc>
          <w:tcPr>
            <w:tcW w:w="13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11,911103% ok</w:t>
            </w:r>
          </w:p>
        </w:tc>
        <w:tc>
          <w:tcPr>
            <w:tcW w:w="25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1,11911103</w:t>
            </w:r>
          </w:p>
        </w:tc>
      </w:tr>
      <w:tr>
        <w:trPr>
          <w:trHeight w:val="210" w:hRule="atLeast"/>
        </w:trPr>
        <w:tc>
          <w:tcPr>
            <w:tcW w:w="819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out/22</w:t>
            </w:r>
          </w:p>
        </w:tc>
        <w:tc>
          <w:tcPr>
            <w:tcW w:w="1470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0,59</w:t>
            </w:r>
          </w:p>
        </w:tc>
        <w:tc>
          <w:tcPr>
            <w:tcW w:w="18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12,571378%</w:t>
            </w:r>
          </w:p>
        </w:tc>
        <w:tc>
          <w:tcPr>
            <w:tcW w:w="11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0,59% ok</w:t>
            </w:r>
          </w:p>
        </w:tc>
        <w:tc>
          <w:tcPr>
            <w:tcW w:w="13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12,571378% ok</w:t>
            </w:r>
          </w:p>
        </w:tc>
        <w:tc>
          <w:tcPr>
            <w:tcW w:w="25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1,12571378</w:t>
            </w:r>
          </w:p>
        </w:tc>
      </w:tr>
      <w:tr>
        <w:trPr>
          <w:trHeight w:val="210" w:hRule="atLeast"/>
        </w:trPr>
        <w:tc>
          <w:tcPr>
            <w:tcW w:w="819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nov/22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0,41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13,032921%</w:t>
            </w:r>
          </w:p>
        </w:tc>
        <w:tc>
          <w:tcPr>
            <w:tcW w:w="112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0,41% ok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13,032921% ok</w:t>
            </w:r>
          </w:p>
        </w:tc>
        <w:tc>
          <w:tcPr>
            <w:tcW w:w="255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t-BR"/>
              </w:rPr>
              <w:t>1,13032921</w:t>
            </w:r>
          </w:p>
        </w:tc>
      </w:tr>
    </w:tbl>
    <w:p>
      <w:pPr>
        <w:pStyle w:val="Normal"/>
        <w:jc w:val="both"/>
        <w:rPr>
          <w:rFonts w:ascii="Times New Roman" w:hAnsi="Times New Roman" w:eastAsia="" w:cs="Times New Roman" w:eastAsiaTheme="minorEastAsia"/>
        </w:rPr>
      </w:pPr>
      <w:r>
        <w:rPr>
          <w:rFonts w:eastAsia="" w:cs="Times New Roman" w:eastAsiaTheme="minorEastAsia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>
          <w:rFonts w:eastAsia="" w:cs="Times New Roman" w:ascii="Times New Roman" w:hAnsi="Times New Roman" w:eastAsiaTheme="minorEastAsia"/>
        </w:rPr>
        <w:tab/>
      </w: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Cabe destacar que a análise regulatória foi desenvolvida na mesma planilha do Excel, protocolada pela CAERN, que foi renomeada de 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>“Planilha_17927578_reajuste_arsban_2022_23”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para 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>“Planilha_17927578_reajuste_arsban_2022_23 – AR”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e que integra como anexo desta nota técnica. </w:t>
      </w:r>
    </w:p>
    <w:p>
      <w:pPr>
        <w:pStyle w:val="Normal"/>
        <w:spacing w:lineRule="auto" w:line="360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>
          <w:rFonts w:eastAsia="" w:cs="Times New Roman" w:eastAsiaTheme="minorEastAsia" w:ascii="Times New Roman" w:hAnsi="Times New Roman"/>
          <w:sz w:val="24"/>
          <w:szCs w:val="24"/>
        </w:rPr>
      </w:r>
    </w:p>
    <w:p>
      <w:pPr>
        <w:pStyle w:val="Ttulo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124373537"/>
      <w:r>
        <w:rPr>
          <w:rFonts w:cs="Times New Roman" w:ascii="Times New Roman" w:hAnsi="Times New Roman"/>
          <w:color w:val="000000" w:themeColor="text1"/>
          <w:sz w:val="24"/>
          <w:szCs w:val="24"/>
        </w:rPr>
        <w:t>4. Considerações finais</w:t>
      </w:r>
      <w:bookmarkEnd w:id="6"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Considerando o estabelecido na Resolução N° 002/2022 - ARSBAN, que determinou o reajuste, conforme o IPCA acumulado no período que a tarifa ficou desprotegida do processo inflacionário ou deflacionário e a 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>Resolução Nº 001/2021 - ARSBAN</w:t>
      </w:r>
      <w:r>
        <w:rPr>
          <w:rFonts w:cs="Times New Roman" w:ascii="Times New Roman" w:hAnsi="Times New Roman"/>
          <w:sz w:val="24"/>
          <w:szCs w:val="24"/>
        </w:rPr>
        <w:t>, que estabeleceu a data-base de referência para o início do reajuste a partir de 01/05/2021, a análise regulatória desenvolvida pelo DT-ARSBAN e apresentada nas seções 2 e 3 desta nota técnica decide pela conformidade do pleito protocolado pela CAERN via Ofício nº 145/2022/CAERN - UNAR/CAERN - GCP/CAERN - DP/CAERN - PR-CAERN nesta agência reguladora, que solicitou o percentual de 13,032921%.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Como sempre foi realizado em todas as alterações tarifárias precedentes e reguladas pela ARSBAN, o Índice de Reajuste Tarifário (</w:t>
      </w:r>
      <w:r>
        <w:rPr>
          <w:rFonts w:cs="Times New Roman" w:ascii="Times New Roman" w:hAnsi="Times New Roman"/>
          <w:i/>
          <w:sz w:val="24"/>
          <w:szCs w:val="24"/>
        </w:rPr>
        <w:t>IrT</w:t>
      </w:r>
      <w:r>
        <w:rPr>
          <w:rFonts w:cs="Times New Roman" w:ascii="Times New Roman" w:hAnsi="Times New Roman"/>
          <w:sz w:val="24"/>
          <w:szCs w:val="24"/>
        </w:rPr>
        <w:t xml:space="preserve">) será aplicado de forma linear em todos os preços dos serviços diretos e indiretos de abastecimento de água e esgotamento sanitário regulados, seguindo a regra de arredondamento prevista na norma brasileira NBR 5891 de 4 casas decimais para o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RINDEX</m:t>
        </m:r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e, consequentemente, duas casas decimais para o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rT</m:t>
        </m:r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, o que resulta no </w:t>
      </w:r>
      <w:r>
        <w:rPr>
          <w:rFonts w:cs="Times New Roman" w:ascii="Times New Roman" w:hAnsi="Times New Roman"/>
          <w:b/>
          <w:sz w:val="24"/>
          <w:szCs w:val="24"/>
        </w:rPr>
        <w:t>Índice de Reajuste Tarifário (</w:t>
      </w:r>
      <w:r>
        <w:rPr>
          <w:rFonts w:cs="Times New Roman" w:ascii="Times New Roman" w:hAnsi="Times New Roman"/>
          <w:b/>
          <w:i/>
          <w:sz w:val="24"/>
          <w:szCs w:val="24"/>
        </w:rPr>
        <w:t>IrT</w:t>
      </w:r>
      <w:r>
        <w:rPr>
          <w:rFonts w:cs="Times New Roman" w:ascii="Times New Roman" w:hAnsi="Times New Roman"/>
          <w:b/>
          <w:sz w:val="24"/>
          <w:szCs w:val="24"/>
        </w:rPr>
        <w:t xml:space="preserve">) calculado APROVADO de 13,03%. </w:t>
      </w:r>
      <w:r>
        <w:rPr>
          <w:rFonts w:cs="Times New Roman" w:ascii="Times New Roman" w:hAnsi="Times New Roman"/>
          <w:sz w:val="24"/>
          <w:szCs w:val="24"/>
        </w:rPr>
        <w:t xml:space="preserve">Na aba “TABELAS DE SERVIÇOS – AR” da palinha 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Planilha_17927578_reajuste_arsban_2022_23 – AR” são apresentados os novos preços dos serviços regulados para o município do Natal, após a aplicação do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rT</m:t>
        </m:r>
      </m:oMath>
      <w:r>
        <w:rPr>
          <w:rFonts w:eastAsia="" w:cs="Times New Roman" w:ascii="Times New Roman" w:hAnsi="Times New Roman" w:eastAsiaTheme="minorEastAsia"/>
          <w:sz w:val="24"/>
          <w:szCs w:val="24"/>
        </w:rPr>
        <w:t>, previamente aprovado e que deverá ser praticada 30 dias após a homologação e aprovação do referido índice.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sz w:val="24"/>
          <w:szCs w:val="24"/>
        </w:rPr>
        <w:t>Em função do IPCA ter sido acumulado até 30/11/2022, a data-base inicial para o próximo reajuste passará a ser 01/12/2022, uma vez que deste momento em diante a tarifa estará desprotegia dos processos inflacionários ou deflacionários.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360" w:before="0" w:after="510"/>
        <w:ind w:left="0" w:right="0" w:hanging="0"/>
        <w:jc w:val="center"/>
        <w:rPr/>
      </w:pPr>
      <w:r>
        <w:rPr>
          <w:rFonts w:cs="Times New Roman"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000000"/>
          <w:sz w:val="24"/>
        </w:rPr>
        <w:t xml:space="preserve">Natal, </w:t>
      </w:r>
      <w:r>
        <w:rPr>
          <w:rFonts w:ascii="TimesNewRomanPSMT" w:hAnsi="TimesNewRomanPSMT"/>
          <w:b w:val="false"/>
          <w:i w:val="false"/>
          <w:color w:val="000000"/>
          <w:sz w:val="24"/>
          <w:szCs w:val="22"/>
          <w:lang w:eastAsia="en-US"/>
        </w:rPr>
        <w:t>16</w:t>
      </w:r>
      <w:r>
        <w:rPr>
          <w:rFonts w:ascii="TimesNewRomanPSMT" w:hAnsi="TimesNewRomanPSMT"/>
          <w:b w:val="false"/>
          <w:i w:val="false"/>
          <w:color w:val="000000"/>
          <w:sz w:val="24"/>
        </w:rPr>
        <w:t xml:space="preserve"> de </w:t>
      </w:r>
      <w:r>
        <w:rPr>
          <w:rFonts w:ascii="TimesNewRomanPSMT" w:hAnsi="TimesNewRomanPSMT"/>
          <w:b w:val="false"/>
          <w:i w:val="false"/>
          <w:color w:val="000000"/>
          <w:sz w:val="24"/>
          <w:szCs w:val="22"/>
          <w:lang w:eastAsia="en-US"/>
        </w:rPr>
        <w:t xml:space="preserve">janeiro </w:t>
      </w:r>
      <w:r>
        <w:rPr>
          <w:rFonts w:ascii="TimesNewRomanPSMT" w:hAnsi="TimesNewRomanPSMT"/>
          <w:b w:val="false"/>
          <w:i w:val="false"/>
          <w:color w:val="000000"/>
          <w:sz w:val="24"/>
        </w:rPr>
        <w:t>de 202</w:t>
      </w:r>
      <w:r>
        <w:rPr>
          <w:rFonts w:ascii="TimesNewRomanPSMT" w:hAnsi="TimesNewRomanPSMT"/>
          <w:b w:val="false"/>
          <w:i w:val="false"/>
          <w:color w:val="000000"/>
          <w:sz w:val="24"/>
        </w:rPr>
        <w:t>3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TimesNewRomanPSMT" w:hAnsi="TimesNewRomanPSMT"/>
          <w:b w:val="false"/>
          <w:i w:val="false"/>
          <w:color w:val="000000"/>
          <w:sz w:val="24"/>
          <w:szCs w:val="22"/>
          <w:lang w:eastAsia="en-US"/>
        </w:rPr>
        <w:t>VICTOR MATHEUS DIÓGENES RAMOS DE OLIVEIRA FREITAS</w:t>
      </w:r>
    </w:p>
    <w:p>
      <w:pPr>
        <w:pStyle w:val="Normal"/>
        <w:spacing w:lineRule="auto" w:line="240" w:before="0" w:after="510"/>
        <w:jc w:val="center"/>
        <w:rPr/>
      </w:pPr>
      <w:r>
        <w:rPr>
          <w:rFonts w:ascii="TimesNewRomanPSMT" w:hAnsi="TimesNewRomanPSMT"/>
          <w:b w:val="false"/>
          <w:i w:val="false"/>
          <w:color w:val="000000"/>
          <w:sz w:val="24"/>
        </w:rPr>
        <w:t>Diretor do Departamento Técnico</w:t>
      </w:r>
    </w:p>
    <w:p>
      <w:pPr>
        <w:pStyle w:val="Normal"/>
        <w:spacing w:before="0" w:after="0"/>
        <w:jc w:val="center"/>
        <w:rPr/>
      </w:pPr>
      <w:r>
        <w:rPr>
          <w:rFonts w:ascii="TimesNewRomanPSMT" w:hAnsi="TimesNewRomanPSMT"/>
          <w:b w:val="false"/>
          <w:i w:val="false"/>
          <w:color w:val="000000"/>
          <w:sz w:val="24"/>
        </w:rPr>
        <w:t>MARIANA MAGNA SANTOS DA NÓBREGA</w:t>
      </w:r>
    </w:p>
    <w:p>
      <w:pPr>
        <w:pStyle w:val="Normal"/>
        <w:spacing w:before="0" w:after="510"/>
        <w:jc w:val="center"/>
        <w:rPr/>
      </w:pPr>
      <w:r>
        <w:rPr>
          <w:rFonts w:ascii="TimesNewRomanPSMT" w:hAnsi="TimesNewRomanPSMT"/>
          <w:b w:val="false"/>
          <w:i w:val="false"/>
          <w:color w:val="000000"/>
          <w:sz w:val="24"/>
        </w:rPr>
        <w:t>Analista de Regulação</w:t>
      </w:r>
    </w:p>
    <w:p>
      <w:pPr>
        <w:pStyle w:val="Normal"/>
        <w:spacing w:before="0" w:after="0"/>
        <w:jc w:val="center"/>
        <w:rPr/>
      </w:pPr>
      <w:r>
        <w:rPr>
          <w:rFonts w:ascii="TimesNewRomanPSMT" w:hAnsi="TimesNewRomanPSMT"/>
          <w:b w:val="false"/>
          <w:i w:val="false"/>
          <w:color w:val="000000"/>
          <w:sz w:val="24"/>
        </w:rPr>
        <w:t>PEDRO CELESTINO DANTAS JÚNIOR</w:t>
      </w:r>
    </w:p>
    <w:p>
      <w:pPr>
        <w:pStyle w:val="Normal"/>
        <w:spacing w:before="0" w:after="510"/>
        <w:jc w:val="center"/>
        <w:rPr/>
      </w:pPr>
      <w:r>
        <w:rPr>
          <w:rFonts w:ascii="TimesNewRomanPSMT" w:hAnsi="TimesNewRomanPSMT"/>
          <w:b w:val="false"/>
          <w:i w:val="false"/>
          <w:color w:val="000000"/>
          <w:sz w:val="24"/>
        </w:rPr>
        <w:t>Analista de Regulação</w:t>
      </w:r>
    </w:p>
    <w:p>
      <w:pPr>
        <w:pStyle w:val="Normal"/>
        <w:spacing w:before="0" w:after="0"/>
        <w:jc w:val="center"/>
        <w:rPr/>
      </w:pPr>
      <w:r>
        <w:rPr>
          <w:rFonts w:ascii="TimesNewRomanPSMT" w:hAnsi="TimesNewRomanPSMT"/>
          <w:b w:val="false"/>
          <w:i w:val="false"/>
          <w:color w:val="000000"/>
          <w:sz w:val="24"/>
        </w:rPr>
        <w:t>WALTER FERNANDES DE MIRANDA NETO</w:t>
      </w:r>
    </w:p>
    <w:p>
      <w:pPr>
        <w:pStyle w:val="Normal"/>
        <w:spacing w:before="0" w:after="510"/>
        <w:jc w:val="center"/>
        <w:rPr/>
      </w:pPr>
      <w:r>
        <w:rPr>
          <w:rFonts w:ascii="TimesNewRomanPSMT" w:hAnsi="TimesNewRomanPSMT"/>
          <w:b w:val="false"/>
          <w:i w:val="false"/>
          <w:color w:val="000000"/>
          <w:sz w:val="24"/>
        </w:rPr>
        <w:t>Analista de Regulação</w:t>
      </w:r>
    </w:p>
    <w:p>
      <w:pPr>
        <w:pStyle w:val="Normal"/>
        <w:jc w:val="left"/>
        <w:rPr/>
      </w:pPr>
      <w:r>
        <w:rPr>
          <w:rFonts w:ascii="TimesNewRomanPSMT" w:hAnsi="TimesNewRomanPSMT"/>
          <w:b w:val="false"/>
          <w:i w:val="false"/>
          <w:color w:val="000000"/>
          <w:sz w:val="24"/>
        </w:rPr>
        <w:t>De acordo,</w:t>
      </w:r>
    </w:p>
    <w:p>
      <w:pPr>
        <w:pStyle w:val="Normal"/>
        <w:spacing w:before="0" w:after="0"/>
        <w:jc w:val="center"/>
        <w:rPr/>
      </w:pPr>
      <w:r>
        <w:rPr>
          <w:rFonts w:ascii="TimesNewRomanPSMT" w:hAnsi="TimesNewRomanPSMT"/>
          <w:b w:val="false"/>
          <w:i w:val="false"/>
          <w:color w:val="000000"/>
          <w:sz w:val="24"/>
        </w:rPr>
        <w:t>ROSSINI FERNANDES DE OLIVEIRA</w:t>
      </w:r>
    </w:p>
    <w:p>
      <w:pPr>
        <w:pStyle w:val="Normal"/>
        <w:spacing w:before="0" w:after="200"/>
        <w:jc w:val="center"/>
        <w:rPr/>
      </w:pPr>
      <w:r>
        <w:rPr>
          <w:rFonts w:ascii="TimesNewRomanPSMT" w:hAnsi="TimesNewRomanPSMT"/>
          <w:b w:val="false"/>
          <w:i w:val="false"/>
          <w:color w:val="000000"/>
          <w:sz w:val="24"/>
        </w:rPr>
        <w:t>Diretor-Presidente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80706b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f4afc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80706b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nkdaInternet">
    <w:name w:val="Link da Internet"/>
    <w:basedOn w:val="DefaultParagraphFont"/>
    <w:uiPriority w:val="99"/>
    <w:unhideWhenUsed/>
    <w:rsid w:val="00d33f6e"/>
    <w:rPr>
      <w:color w:val="0000FF" w:themeColor="hyperlink"/>
      <w:u w:val="single"/>
    </w:rPr>
  </w:style>
  <w:style w:type="character" w:styleId="Vnculodendice">
    <w:name w:val="Vínculo de índice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d71b9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3f4afc"/>
    <w:pPr>
      <w:widowControl/>
      <w:bidi w:val="0"/>
      <w:spacing w:lineRule="auto" w:line="240" w:before="0" w:after="0"/>
      <w:jc w:val="left"/>
    </w:pPr>
    <w:rPr>
      <w:rFonts w:ascii="Calibri" w:hAnsi="Calibri" w:eastAsia="Calibri" w:cs=""/>
      <w:color w:val="00000A"/>
      <w:kern w:val="0"/>
      <w:sz w:val="22"/>
      <w:szCs w:val="22"/>
      <w:lang w:val="pt-BR" w:eastAsia="en-US" w:bidi="ar-SA"/>
    </w:rPr>
  </w:style>
  <w:style w:type="paragraph" w:styleId="AaaaaaaRapido" w:customStyle="1">
    <w:name w:val="AaaaaaaRapido"/>
    <w:basedOn w:val="Normal"/>
    <w:qFormat/>
    <w:rsid w:val="003f4afc"/>
    <w:pPr>
      <w:suppressAutoHyphens w:val="true"/>
      <w:spacing w:lineRule="auto" w:line="360"/>
      <w:ind w:firstLine="708"/>
      <w:jc w:val="both"/>
    </w:pPr>
    <w:rPr>
      <w:rFonts w:ascii="Times New Roman" w:hAnsi="Times New Roman" w:eastAsia="Calibri" w:cs="Times New Roman"/>
      <w:color w:val="00000A"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f4a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081ee6"/>
    <w:pPr>
      <w:suppressAutoHyphens w:val="true"/>
      <w:spacing w:lineRule="auto" w:line="240" w:before="100" w:after="100"/>
      <w:textAlignment w:val="baseline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d33f6e"/>
    <w:pPr/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d33f6e"/>
    <w:pPr>
      <w:spacing w:before="0" w:after="10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f4afc"/>
    <w:pPr>
      <w:spacing w:after="0" w:line="240" w:lineRule="auto"/>
    </w:pPr>
    <w:rPr>
      <w:lang w:eastAsia="pt-B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733B-8261-4FB4-AE02-957A9A76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LibreOffice/6.3.4.2$Windows_X86_64 LibreOffice_project/60da17e045e08f1793c57c00ba83cdfce946d0aa</Application>
  <Pages>7</Pages>
  <Words>1354</Words>
  <Characters>7567</Characters>
  <CharactersWithSpaces>8774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2023-01-12T00:13:00Z</dcterms:created>
  <dc:creator>Neote</dc:creator>
  <dc:description/>
  <dc:language>pt-BR</dc:language>
  <cp:lastModifiedBy/>
  <dcterms:modified xsi:type="dcterms:W3CDTF">2023-01-13T10:08:29Z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